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8EC02">
      <w:pPr>
        <w:keepNext w:val="0"/>
        <w:keepLines w:val="0"/>
        <w:pageBreakBefore w:val="0"/>
        <w:widowControl/>
        <w:suppressLineNumbers w:val="0"/>
        <w:kinsoku/>
        <w:wordWrap/>
        <w:overflowPunct/>
        <w:topLinePunct w:val="0"/>
        <w:autoSpaceDE/>
        <w:autoSpaceDN/>
        <w:bidi w:val="0"/>
        <w:snapToGrid w:val="0"/>
        <w:spacing w:line="560" w:lineRule="exact"/>
        <w:jc w:val="center"/>
        <w:rPr>
          <w:rFonts w:hint="eastAsia" w:ascii="方正小标宋_GBK" w:hAnsi="方正小标宋_GBK" w:eastAsia="方正小标宋_GBK" w:cs="方正小标宋_GBK"/>
          <w:color w:val="000000"/>
          <w:kern w:val="0"/>
          <w:sz w:val="44"/>
          <w:szCs w:val="44"/>
          <w:lang w:val="en-US" w:eastAsia="zh-CN" w:bidi="ar"/>
        </w:rPr>
      </w:pPr>
    </w:p>
    <w:p w14:paraId="2B30A821">
      <w:pPr>
        <w:keepNext w:val="0"/>
        <w:keepLines w:val="0"/>
        <w:pageBreakBefore w:val="0"/>
        <w:widowControl/>
        <w:suppressLineNumbers w:val="0"/>
        <w:kinsoku/>
        <w:wordWrap/>
        <w:overflowPunct/>
        <w:topLinePunct w:val="0"/>
        <w:autoSpaceDE/>
        <w:autoSpaceDN/>
        <w:bidi w:val="0"/>
        <w:snapToGrid w:val="0"/>
        <w:spacing w:line="560" w:lineRule="exact"/>
        <w:jc w:val="center"/>
      </w:pPr>
      <w:r>
        <w:rPr>
          <w:rFonts w:hint="eastAsia" w:ascii="方正小标宋_GBK" w:hAnsi="方正小标宋_GBK" w:eastAsia="方正小标宋_GBK" w:cs="方正小标宋_GBK"/>
          <w:color w:val="000000"/>
          <w:kern w:val="0"/>
          <w:sz w:val="44"/>
          <w:szCs w:val="44"/>
          <w:lang w:val="en-US" w:eastAsia="zh-CN" w:bidi="ar"/>
        </w:rPr>
        <w:t>《市级行政事业单位国有不动产出租出借实施规范》</w:t>
      </w:r>
      <w:r>
        <w:rPr>
          <w:rFonts w:ascii="方正小标宋_GBK" w:hAnsi="方正小标宋_GBK" w:eastAsia="方正小标宋_GBK" w:cs="方正小标宋_GBK"/>
          <w:color w:val="000000"/>
          <w:kern w:val="0"/>
          <w:sz w:val="44"/>
          <w:szCs w:val="44"/>
          <w:lang w:val="en-US" w:eastAsia="zh-CN" w:bidi="ar"/>
        </w:rPr>
        <w:t>地方标准编制说明</w:t>
      </w:r>
    </w:p>
    <w:p w14:paraId="23D1E0CA">
      <w:pPr>
        <w:keepNext w:val="0"/>
        <w:keepLines w:val="0"/>
        <w:pageBreakBefore w:val="0"/>
        <w:widowControl/>
        <w:suppressLineNumbers w:val="0"/>
        <w:kinsoku/>
        <w:wordWrap/>
        <w:overflowPunct/>
        <w:topLinePunct w:val="0"/>
        <w:autoSpaceDE/>
        <w:autoSpaceDN/>
        <w:bidi w:val="0"/>
        <w:snapToGrid w:val="0"/>
        <w:spacing w:line="560" w:lineRule="exact"/>
        <w:jc w:val="left"/>
        <w:textAlignment w:val="auto"/>
        <w:rPr>
          <w:rFonts w:ascii="黑体" w:hAnsi="宋体" w:eastAsia="黑体" w:cs="黑体"/>
          <w:color w:val="000000"/>
          <w:kern w:val="0"/>
          <w:sz w:val="32"/>
          <w:szCs w:val="32"/>
          <w:lang w:val="en-US" w:eastAsia="zh-CN" w:bidi="ar"/>
        </w:rPr>
      </w:pPr>
    </w:p>
    <w:p w14:paraId="5FA3605A">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一、目的意义 </w:t>
      </w:r>
      <w:r>
        <w:rPr>
          <w:rFonts w:hint="eastAsia" w:ascii="仿宋_GB2312" w:hAnsi="仿宋_GB2312" w:eastAsia="仿宋_GB2312" w:cs="仿宋_GB2312"/>
          <w:color w:val="000000"/>
          <w:kern w:val="0"/>
          <w:sz w:val="32"/>
          <w:szCs w:val="32"/>
          <w:lang w:val="en-US" w:eastAsia="zh-CN" w:bidi="ar"/>
        </w:rPr>
        <w:t xml:space="preserve"> </w:t>
      </w:r>
    </w:p>
    <w:p w14:paraId="7894BAC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pPr>
      <w:r>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t>（一）行业领域发展基本情况</w:t>
      </w:r>
    </w:p>
    <w:p w14:paraId="5B2F2D6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国有资产是政府履行公共管理职能的物质基础和机关运行的必要条件，直接影响着机关运行能效和服务保障水平。连云港市行政事业性资产管理</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过去</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一直由市财政局负责，从2019年7月起，我市市级层面行政事业单位资产管理职能进行了调整，将市级行政事业性国有资产处置职能划归市机关事务管理局，形成了市财政局负责全市行政事业单位资产宏观管理并具体分管资金来源和资产配置，市机关事务管理局具体负责资产处置（包括出租、出借等）的管理体制</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自承接职能以来，国有不动产出租年审核金额均超1500万元，有效推动国有资产增值保值、防止资产流失，不断提升管理水平。</w:t>
      </w:r>
    </w:p>
    <w:p w14:paraId="10629FC3">
      <w:pPr>
        <w:keepNext w:val="0"/>
        <w:keepLines w:val="0"/>
        <w:pageBreakBefore w:val="0"/>
        <w:widowControl w:val="0"/>
        <w:numPr>
          <w:ilvl w:val="0"/>
          <w:numId w:val="1"/>
        </w:numPr>
        <w:kinsoku/>
        <w:wordWrap/>
        <w:overflowPunct/>
        <w:topLinePunct w:val="0"/>
        <w:autoSpaceDE/>
        <w:autoSpaceDN/>
        <w:bidi w:val="0"/>
        <w:adjustRightInd/>
        <w:snapToGrid w:val="0"/>
        <w:spacing w:line="560" w:lineRule="exact"/>
        <w:ind w:firstLine="640" w:firstLineChars="200"/>
        <w:jc w:val="both"/>
        <w:textAlignment w:val="auto"/>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pPr>
      <w:r>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t>必要性和可行性</w:t>
      </w:r>
    </w:p>
    <w:p w14:paraId="01C52148">
      <w:pPr>
        <w:keepNext w:val="0"/>
        <w:keepLines w:val="0"/>
        <w:pageBreakBefore w:val="0"/>
        <w:widowControl w:val="0"/>
        <w:numPr>
          <w:ilvl w:val="0"/>
          <w:numId w:val="2"/>
        </w:numPr>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val="0"/>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bCs w:val="0"/>
          <w:snapToGrid/>
          <w:color w:val="000000" w:themeColor="text1"/>
          <w:kern w:val="2"/>
          <w:sz w:val="32"/>
          <w:szCs w:val="32"/>
          <w:lang w:val="en-US" w:eastAsia="zh-CN"/>
          <w14:textFill>
            <w14:solidFill>
              <w14:schemeClr w14:val="tx1"/>
            </w14:solidFill>
          </w14:textFill>
        </w:rPr>
        <w:t>必要性</w:t>
      </w:r>
    </w:p>
    <w:p w14:paraId="429849C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一是职能转变需要。国有不动产是政府履行公共管理职能的物质基础和机关运行的必要条件，直接影响着机关运行能效和服务保障水平。以资产管理作为机关事务集中统一管理的基石，与配置、采购和预算管理有效衔接，推进资产共享共用，可以为机关各部门提供公平的保障服务，维持良好运行秩序。加强国有不动产集中统一标准化管理，既能提升机关事务管理集约化水平，又能使机关资产发挥最大化效益。</w:t>
      </w:r>
    </w:p>
    <w:p w14:paraId="6FF86710">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二是行业发展的需要。国有不动产出租管理是国有资产管理的重要组成部分，整合优化管理职能，统筹配置、高效管理、集约使用机关运行保障资源，实现制度标准统一、考核评价统一、经费使用统一，这是做好机关运行保障的基础和关键。目前，地方尚无关于国有不动产出租管理方面的制度，推进国有不动产出租法治建设，建立健全行政事业单位国有不动产出租管理制度体系，将有助于贯彻集中集约理念，进一步推进节约型机关建设，树立行政事业单位的良好社会形象，提升服务保障质效和现代化治理能力。</w:t>
      </w:r>
    </w:p>
    <w:p w14:paraId="053CBAB7">
      <w:pPr>
        <w:keepNext w:val="0"/>
        <w:keepLines w:val="0"/>
        <w:pageBreakBefore w:val="0"/>
        <w:widowControl w:val="0"/>
        <w:numPr>
          <w:ilvl w:val="0"/>
          <w:numId w:val="2"/>
        </w:numPr>
        <w:kinsoku/>
        <w:wordWrap/>
        <w:overflowPunct/>
        <w:topLinePunct w:val="0"/>
        <w:autoSpaceDE/>
        <w:autoSpaceDN/>
        <w:bidi w:val="0"/>
        <w:adjustRightInd/>
        <w:snapToGrid w:val="0"/>
        <w:spacing w:line="560" w:lineRule="exact"/>
        <w:ind w:firstLine="643" w:firstLineChars="200"/>
        <w:jc w:val="both"/>
        <w:textAlignment w:val="auto"/>
        <w:rPr>
          <w:rFonts w:hint="eastAsia" w:ascii="仿宋_GB2312" w:hAnsi="仿宋_GB2312" w:eastAsia="仿宋_GB2312" w:cs="仿宋_GB2312"/>
          <w:b/>
          <w:bCs w:val="0"/>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bCs w:val="0"/>
          <w:snapToGrid/>
          <w:color w:val="000000" w:themeColor="text1"/>
          <w:kern w:val="2"/>
          <w:sz w:val="32"/>
          <w:szCs w:val="32"/>
          <w:lang w:val="en-US" w:eastAsia="zh-CN"/>
          <w14:textFill>
            <w14:solidFill>
              <w14:schemeClr w14:val="tx1"/>
            </w14:solidFill>
          </w14:textFill>
        </w:rPr>
        <w:t>可行性</w:t>
      </w:r>
    </w:p>
    <w:p w14:paraId="4B9CA4E0">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一是</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管理制度基础。2019年与市财政局联合起草下发《连云港市市级行政事业单位国有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不动产出租出借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实施</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办法》（连事规〔2019〕</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1</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号），经过一年多管理实践，对《办法》提出完善管理修改意见，于2020年12月与市财政局联合修订出台《连云港市市级行政事业单位国有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不动产出租出借管理实施</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办法》（连事管规〔2020〕</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1</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号），通过</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四</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年多实践，出台国有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管理标准化规范条件已具备。</w:t>
      </w:r>
    </w:p>
    <w:p w14:paraId="2C9484A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二是有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审批</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管理机制。规范</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不动产出租管理</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操作流程，严格审批手续，搭建</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出租管理</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平台，提高透明度和效率效益。202</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3</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年以来，市机关事务管理局</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审批出租</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57批次</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涉及</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59点（处），土地面积5.9万㎡，房屋面积7.2万平方米，年租金1390万</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w:t>
      </w:r>
    </w:p>
    <w:p w14:paraId="4653421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三是有信息共享机制支撑。全省党政机关办公用房信息化管理系统全省“一张网”已建成使用，建立经营性房产管理信息系统“云租管”、资产调剂平台“江苏省党政机关公物仓系统”，配合财政部门完善“资产云”平台系统功能等，促使</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管理更加规范、智能和高效。推动全省智慧机关事务一体化平台建设，已完成与办公用房、公务用车、国有资产等信息系统联通</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通过互联互通、数据共享，提升管理效能和治理能力，为资产集中统一监管提供强大助力。</w:t>
      </w:r>
    </w:p>
    <w:p w14:paraId="7780738C">
      <w:pPr>
        <w:keepNext w:val="0"/>
        <w:keepLines w:val="0"/>
        <w:pageBreakBefore w:val="0"/>
        <w:widowControl/>
        <w:numPr>
          <w:ilvl w:val="0"/>
          <w:numId w:val="3"/>
        </w:numPr>
        <w:suppressLineNumbers w:val="0"/>
        <w:kinsoku/>
        <w:wordWrap/>
        <w:overflowPunct/>
        <w:topLinePunct w:val="0"/>
        <w:autoSpaceDE/>
        <w:autoSpaceDN/>
        <w:bidi w:val="0"/>
        <w:adjustRightInd/>
        <w:snapToGrid w:val="0"/>
        <w:spacing w:line="560" w:lineRule="exact"/>
        <w:ind w:left="0" w:leftChars="0" w:firstLine="640" w:firstLineChars="200"/>
        <w:jc w:val="left"/>
        <w:textAlignment w:val="auto"/>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pPr>
      <w:r>
        <w:rPr>
          <w:rFonts w:hint="eastAsia" w:ascii="楷体_GB2312" w:hAnsi="楷体_GB2312" w:eastAsia="楷体_GB2312" w:cs="楷体_GB2312"/>
          <w:b w:val="0"/>
          <w:bCs/>
          <w:snapToGrid/>
          <w:color w:val="000000" w:themeColor="text1"/>
          <w:kern w:val="2"/>
          <w:sz w:val="32"/>
          <w:szCs w:val="32"/>
          <w:lang w:val="en-US" w:eastAsia="zh-CN"/>
          <w14:textFill>
            <w14:solidFill>
              <w14:schemeClr w14:val="tx1"/>
            </w14:solidFill>
          </w14:textFill>
        </w:rPr>
        <w:t>预期效益分析</w:t>
      </w:r>
    </w:p>
    <w:p w14:paraId="4E519A83">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通过国有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管理规范助力国有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不动产出租管理</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更精准、更加高效、更加公平。</w:t>
      </w:r>
    </w:p>
    <w:p w14:paraId="1648099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一是</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规范国有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行为。形成较为完整</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程序标准化体系链条，对</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过程中</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的</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问题明确程序要求，更具有规范性和可操作性，使行政事业单位国有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更规范化、明晰化</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。使国有不动产</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接受有效监管，防范资产损失风险</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p>
    <w:p w14:paraId="64BED1B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二是</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降低行政事业单位运行成本。规范国有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不动产出租管理</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行为，实现行政事业单位国有</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不动产</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的增值保值。</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杜绝“权力租”“关系租”等违纪违法问题的发生，确保国有资产的收益最大化，</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最大程度发挥出国有资产的效能，为履行职责提供高效节约的保障支撑</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p>
    <w:p w14:paraId="17F7109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三是推动节约型机关建设。有助于</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规范全市行政事业单位办公用房不动产权属登记和国有资产管理工作，推进国有资产集约高效规范使用，全面推动</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节约型机关建设</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工作提质增效</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p>
    <w:p w14:paraId="632C9DD6">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pP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四是</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强化落实监管</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国有</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不动产</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出租出借</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管理主体责任</w:t>
      </w:r>
      <w:r>
        <w:rPr>
          <w:rFonts w:hint="eastAsia" w:ascii="仿宋_GB2312" w:hAnsi="仿宋_GB2312" w:eastAsia="仿宋_GB2312" w:cs="仿宋_GB2312"/>
          <w:b w:val="0"/>
          <w:bCs/>
          <w:snapToGrid/>
          <w:color w:val="000000" w:themeColor="text1"/>
          <w:kern w:val="2"/>
          <w:sz w:val="32"/>
          <w:szCs w:val="32"/>
          <w:lang w:eastAsia="zh-CN"/>
          <w14:textFill>
            <w14:solidFill>
              <w14:schemeClr w14:val="tx1"/>
            </w14:solidFill>
          </w14:textFill>
        </w:rPr>
        <w:t>。</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规范不动产出租工作流程，促进监管</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国有</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不动产租赁工作更加公开透明、合法规范，</w:t>
      </w:r>
      <w:r>
        <w:rPr>
          <w:rFonts w:hint="eastAsia" w:ascii="仿宋_GB2312" w:hAnsi="仿宋_GB2312" w:eastAsia="仿宋_GB2312" w:cs="仿宋_GB2312"/>
          <w:b w:val="0"/>
          <w:bCs/>
          <w:snapToGrid/>
          <w:color w:val="000000" w:themeColor="text1"/>
          <w:kern w:val="2"/>
          <w:sz w:val="32"/>
          <w:szCs w:val="32"/>
          <w:lang w:val="en-US" w:eastAsia="zh-CN"/>
          <w14:textFill>
            <w14:solidFill>
              <w14:schemeClr w14:val="tx1"/>
            </w14:solidFill>
          </w14:textFill>
        </w:rPr>
        <w:t>有助于</w:t>
      </w:r>
      <w:r>
        <w:rPr>
          <w:rFonts w:hint="eastAsia" w:ascii="仿宋_GB2312" w:hAnsi="仿宋_GB2312" w:eastAsia="仿宋_GB2312" w:cs="仿宋_GB2312"/>
          <w:b w:val="0"/>
          <w:bCs/>
          <w:snapToGrid/>
          <w:color w:val="000000" w:themeColor="text1"/>
          <w:kern w:val="2"/>
          <w:sz w:val="32"/>
          <w:szCs w:val="32"/>
          <w14:textFill>
            <w14:solidFill>
              <w14:schemeClr w14:val="tx1"/>
            </w14:solidFill>
          </w14:textFill>
        </w:rPr>
        <w:t>提升不动产租赁效益与管理水平。</w:t>
      </w:r>
    </w:p>
    <w:p w14:paraId="0A1E5B2A">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二、任务来源 </w:t>
      </w:r>
    </w:p>
    <w:p w14:paraId="2063339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标准由2024年7月10日连云港市市场监督管理局发布的《关于下达2024年度连云港市地方标准项目计划的通知》（连市监标函〔2024〕100号）批准立项，项目序号27，立项名称为《行政事业性国有不动产出租出借实施规范》，本标准由连云港市机关事务管理局提出、归口并组织实施。</w:t>
      </w:r>
    </w:p>
    <w:p w14:paraId="04960D5E">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三、编制过程 </w:t>
      </w:r>
    </w:p>
    <w:p w14:paraId="74FFB2B8">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 2024年3月，由连云港市机关事务管理局申请，经连云港市市场监督管理局审核批准，于2024年7月正式立项。</w:t>
      </w:r>
    </w:p>
    <w:p w14:paraId="75CFC062">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 2024年7月，成立起草小组，按照任务分工开展标准起草工作。</w:t>
      </w:r>
    </w:p>
    <w:p w14:paraId="6E10A798">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 2024年8月—9月标准起草就标准文本制订进行多次研讨。</w:t>
      </w:r>
    </w:p>
    <w:p w14:paraId="7ED82F0B">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4. </w:t>
      </w:r>
      <w:bookmarkStart w:id="0" w:name="_GoBack"/>
      <w:r>
        <w:rPr>
          <w:rFonts w:hint="eastAsia" w:ascii="仿宋_GB2312" w:hAnsi="仿宋_GB2312" w:eastAsia="仿宋_GB2312" w:cs="仿宋_GB2312"/>
          <w:color w:val="auto"/>
          <w:kern w:val="2"/>
          <w:sz w:val="32"/>
          <w:szCs w:val="32"/>
          <w:lang w:val="en-US" w:eastAsia="zh-CN" w:bidi="ar-SA"/>
        </w:rPr>
        <w:t>2024年9月-10月组织相关专家，召开标准研讨会，最终完成标准制定工作。</w:t>
      </w:r>
      <w:bookmarkEnd w:id="0"/>
    </w:p>
    <w:p w14:paraId="1AB6BBEE">
      <w:pPr>
        <w:pStyle w:val="5"/>
        <w:keepNext w:val="0"/>
        <w:keepLines w:val="0"/>
        <w:pageBreakBefore w:val="0"/>
        <w:widowControl w:val="0"/>
        <w:kinsoku/>
        <w:wordWrap/>
        <w:overflowPunct/>
        <w:topLinePunct w:val="0"/>
        <w:autoSpaceDE/>
        <w:autoSpaceDN/>
        <w:bidi w:val="0"/>
        <w:adjustRightInd w:val="0"/>
        <w:snapToGrid w:val="0"/>
        <w:spacing w:line="560" w:lineRule="exact"/>
        <w:ind w:firstLine="48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 2024年11月，开展标准征求意见工作，将标准征求意见稿在市市场局网站征求意见，并有针对性的发送给县区、市直机关，广泛征求各方意见。</w:t>
      </w:r>
    </w:p>
    <w:p w14:paraId="4C2C79C8">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color w:val="000000"/>
          <w:kern w:val="0"/>
          <w:sz w:val="32"/>
          <w:szCs w:val="32"/>
          <w:lang w:val="en-US" w:eastAsia="zh-CN" w:bidi="ar"/>
        </w:rPr>
        <w:t>四、主要内容技术指标确立</w:t>
      </w:r>
      <w:r>
        <w:rPr>
          <w:rFonts w:hint="eastAsia" w:ascii="仿宋_GB2312" w:hAnsi="仿宋_GB2312" w:eastAsia="仿宋_GB2312" w:cs="仿宋_GB2312"/>
          <w:color w:val="000000"/>
          <w:kern w:val="0"/>
          <w:sz w:val="32"/>
          <w:szCs w:val="32"/>
          <w:lang w:val="en-US" w:eastAsia="zh-CN" w:bidi="ar"/>
        </w:rPr>
        <w:t xml:space="preserve"> </w:t>
      </w:r>
    </w:p>
    <w:p w14:paraId="37A73144">
      <w:pPr>
        <w:keepNext w:val="0"/>
        <w:keepLines w:val="0"/>
        <w:pageBreakBefore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本标准根据</w:t>
      </w:r>
      <w:r>
        <w:rPr>
          <w:rFonts w:hint="eastAsia" w:ascii="仿宋_GB2312" w:hAnsi="仿宋_GB2312" w:eastAsia="仿宋_GB2312" w:cs="仿宋_GB2312"/>
          <w:color w:val="auto"/>
          <w:kern w:val="2"/>
          <w:sz w:val="32"/>
          <w:szCs w:val="32"/>
          <w:lang w:val="en-US" w:eastAsia="zh-CN" w:bidi="ar-SA"/>
        </w:rPr>
        <w:t>GB/T 1.1-2020《标准化工作导则 第1部分：标准化文件的结构和起草规则》的规则起草。</w:t>
      </w:r>
      <w:r>
        <w:rPr>
          <w:rFonts w:hint="eastAsia" w:ascii="仿宋_GB2312" w:hAnsi="仿宋_GB2312" w:eastAsia="仿宋_GB2312" w:cs="仿宋_GB2312"/>
          <w:color w:val="000000"/>
          <w:kern w:val="2"/>
          <w:sz w:val="32"/>
          <w:szCs w:val="32"/>
          <w:lang w:val="en-US" w:eastAsia="zh-CN" w:bidi="ar-SA"/>
        </w:rPr>
        <w:t>共分为9个章节。</w:t>
      </w:r>
    </w:p>
    <w:p w14:paraId="03C006BE">
      <w:pPr>
        <w:keepNext w:val="0"/>
        <w:keepLines w:val="0"/>
        <w:pageBreakBefore w:val="0"/>
        <w:widowControl w:val="0"/>
        <w:numPr>
          <w:ilvl w:val="0"/>
          <w:numId w:val="4"/>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“范围”指</w:t>
      </w:r>
      <w:r>
        <w:rPr>
          <w:rFonts w:hint="eastAsia" w:ascii="仿宋_GB2312" w:hAnsi="仿宋_GB2312" w:eastAsia="仿宋_GB2312" w:cs="仿宋_GB2312"/>
          <w:color w:val="000000"/>
          <w:sz w:val="32"/>
          <w:szCs w:val="32"/>
          <w:lang w:val="en-US" w:eastAsia="zh-CN"/>
        </w:rPr>
        <w:t>出</w:t>
      </w:r>
      <w:r>
        <w:rPr>
          <w:rFonts w:hint="eastAsia" w:ascii="仿宋_GB2312" w:hAnsi="仿宋_GB2312" w:eastAsia="仿宋_GB2312" w:cs="仿宋_GB2312"/>
          <w:color w:val="auto"/>
          <w:sz w:val="32"/>
          <w:szCs w:val="32"/>
        </w:rPr>
        <w:t>本文件</w:t>
      </w:r>
      <w:r>
        <w:rPr>
          <w:rFonts w:hint="eastAsia" w:ascii="仿宋_GB2312" w:hAnsi="仿宋_GB2312" w:eastAsia="仿宋_GB2312" w:cs="仿宋_GB2312"/>
          <w:color w:val="auto"/>
          <w:sz w:val="32"/>
          <w:szCs w:val="32"/>
          <w:lang w:eastAsia="zh-CN"/>
        </w:rPr>
        <w:t>规定了市级行政事业单位国有不动产出租出借管理的基本要求、审批权限、审批程序、出租出借管理、档案管理、监督检查和法律责任。 适用于市级行政事业单位国有不动产出租出借管理。直管公房、保障性住房及附属配套房屋，暂不适用本规范。市级行政事业单位其他国有资产的出租出借参照本规范执行。</w:t>
      </w:r>
    </w:p>
    <w:p w14:paraId="33FE2C3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lang w:val="en-US" w:eastAsia="zh-CN"/>
        </w:rPr>
        <w:t xml:space="preserve">第二章  </w:t>
      </w:r>
      <w:r>
        <w:rPr>
          <w:rFonts w:hint="eastAsia" w:ascii="仿宋_GB2312" w:hAnsi="仿宋_GB2312" w:eastAsia="仿宋_GB2312" w:cs="仿宋_GB2312"/>
          <w:color w:val="000000"/>
          <w:sz w:val="32"/>
          <w:szCs w:val="32"/>
          <w:lang w:val="en-US" w:eastAsia="zh-CN"/>
        </w:rPr>
        <w:t>规范性引用文件给出了本文件引用的相关标准化文件，主要是GB/T 41568-2022 《机关事务管理 术语》</w:t>
      </w:r>
      <w:r>
        <w:rPr>
          <w:rFonts w:hint="eastAsia" w:ascii="仿宋_GB2312" w:hAnsi="仿宋_GB2312" w:eastAsia="仿宋_GB2312" w:cs="仿宋_GB2312"/>
          <w:color w:val="000000"/>
          <w:sz w:val="32"/>
          <w:szCs w:val="32"/>
          <w:lang w:eastAsia="zh-CN"/>
        </w:rPr>
        <w:t>。</w:t>
      </w:r>
    </w:p>
    <w:p w14:paraId="01D26002">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b/>
          <w:bCs/>
          <w:color w:val="000000"/>
          <w:sz w:val="32"/>
          <w:szCs w:val="32"/>
          <w:lang w:val="en-US" w:eastAsia="zh-CN"/>
        </w:rPr>
        <w:t xml:space="preserve">第三章  </w:t>
      </w:r>
      <w:r>
        <w:rPr>
          <w:rFonts w:hint="eastAsia" w:ascii="仿宋_GB2312" w:hAnsi="仿宋_GB2312" w:eastAsia="仿宋_GB2312" w:cs="仿宋_GB2312"/>
          <w:color w:val="000000"/>
          <w:sz w:val="32"/>
          <w:szCs w:val="32"/>
          <w:lang w:val="en-US" w:eastAsia="zh-CN"/>
        </w:rPr>
        <w:t>术语和定义给出了以下几个定义：</w:t>
      </w:r>
    </w:p>
    <w:p w14:paraId="22C0DFB7">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highlight w:val="yellow"/>
          <w:lang w:val="en-US" w:eastAsia="zh-CN"/>
        </w:rPr>
      </w:pPr>
      <w:r>
        <w:rPr>
          <w:rFonts w:hint="eastAsia" w:ascii="仿宋_GB2312" w:hAnsi="仿宋_GB2312" w:eastAsia="仿宋_GB2312" w:cs="仿宋_GB2312"/>
          <w:color w:val="000000"/>
          <w:kern w:val="2"/>
          <w:sz w:val="32"/>
          <w:szCs w:val="32"/>
          <w:lang w:val="en-US" w:eastAsia="zh-CN" w:bidi="ar-SA"/>
        </w:rPr>
        <w:t>1. 市级行政</w:t>
      </w:r>
      <w:r>
        <w:rPr>
          <w:rFonts w:hint="eastAsia" w:ascii="仿宋_GB2312" w:hAnsi="仿宋_GB2312" w:eastAsia="仿宋_GB2312" w:cs="仿宋_GB2312"/>
          <w:color w:val="000000"/>
          <w:sz w:val="32"/>
          <w:szCs w:val="32"/>
          <w:lang w:val="en-US" w:eastAsia="zh-CN"/>
        </w:rPr>
        <w:t>事业单位是市级行政单位（包括党的机关、人大机关、行政机关、政协机关、监察机关、审判机关、检察机关，各民主党派及工商联机关、人民团体、群团组织等）和事业单位。</w:t>
      </w:r>
    </w:p>
    <w:p w14:paraId="67BD6BB2">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2. 资产主管部门是指市机关事务管理局。</w:t>
      </w:r>
    </w:p>
    <w:p w14:paraId="5F1A1782">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3. 国有不动产是市级行政事业单位拥有产权（含暂未办理不动产登记证但权属事实清晰的国有不动产）、使用权或处置权的商业用房、居住性用房、仓储性用房、厂房、土地、场地、经自然资源和规划部门批准且在有效期内的临时建筑等。</w:t>
      </w:r>
    </w:p>
    <w:p w14:paraId="69BB052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 出租是指市级行政事业单位在保证履行行政职能和完成事业任务的前提下，经批准将本单位占有、使用的国有不动产（含暂未办理不动产登记证但权属事实清晰的国有不动产）部分或者全部在一定时期内租赁给自然人、法人或其他组织占用、使用或经营、并取得租金收入的行为。</w:t>
      </w:r>
    </w:p>
    <w:p w14:paraId="260317E4">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5. 出借是指市级行政事业单位在保证履行行政职能和完成事业任务的前提下，按照审批权限，由本级资产主管部门或主管部门统一安排，将国有不动产以无偿方式让渡给其他行政事业单位使用的一种行为。</w:t>
      </w:r>
    </w:p>
    <w:p w14:paraId="0BBA39B6">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000000"/>
          <w:sz w:val="32"/>
          <w:szCs w:val="32"/>
          <w:lang w:val="en-US" w:eastAsia="zh-CN"/>
        </w:rPr>
        <w:t>6. 综合评审是指以评审量化指标确定最高分为成交方的方法。</w:t>
      </w:r>
    </w:p>
    <w:p w14:paraId="024E47A5">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第四章  </w:t>
      </w:r>
      <w:r>
        <w:rPr>
          <w:rFonts w:hint="eastAsia" w:ascii="仿宋_GB2312" w:hAnsi="仿宋_GB2312" w:eastAsia="仿宋_GB2312" w:cs="仿宋_GB2312"/>
          <w:color w:val="auto"/>
          <w:sz w:val="32"/>
          <w:szCs w:val="32"/>
          <w:lang w:val="en-US" w:eastAsia="zh-CN"/>
        </w:rPr>
        <w:t>规定了不动产出租出借的</w:t>
      </w:r>
      <w:r>
        <w:rPr>
          <w:rFonts w:hint="eastAsia" w:ascii="仿宋_GB2312" w:hAnsi="仿宋_GB2312" w:eastAsia="仿宋_GB2312" w:cs="仿宋_GB2312"/>
          <w:color w:val="auto"/>
          <w:sz w:val="32"/>
          <w:szCs w:val="32"/>
        </w:rPr>
        <w:t>基本要求</w:t>
      </w:r>
      <w:r>
        <w:rPr>
          <w:rFonts w:hint="eastAsia" w:ascii="仿宋_GB2312" w:hAnsi="仿宋_GB2312" w:eastAsia="仿宋_GB2312" w:cs="仿宋_GB2312"/>
          <w:color w:val="auto"/>
          <w:sz w:val="32"/>
          <w:szCs w:val="32"/>
          <w:lang w:val="en-US" w:eastAsia="zh-CN"/>
        </w:rPr>
        <w:t>。</w:t>
      </w:r>
    </w:p>
    <w:p w14:paraId="1D12826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市级行政事业单位国有不动产出租出借应逐级申报，严格审批；未经批准，不得出租出借；市级行政事业单位的办公用房原则上不得出租，市级行政单位闲置的办公用房由本级办公用房主管部门统一调配使用。确需出租的，按照办公用房相关规定执行；市级行政事业单位不动产出租出借应遵循公开、公正、公平的原则，确保国有资产的安全、完整和保值增值，盘活闲置资产，合理统筹利用；单位应当委托具有相应资质的评估机构对拟出租的不动产年租金情况进行评估，招租底价原则上应不低于评估价。</w:t>
      </w:r>
    </w:p>
    <w:p w14:paraId="19C41F3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第五章</w:t>
      </w:r>
      <w:r>
        <w:rPr>
          <w:rFonts w:hint="eastAsia" w:ascii="仿宋_GB2312" w:hAnsi="仿宋_GB2312" w:eastAsia="仿宋_GB2312" w:cs="仿宋_GB2312"/>
          <w:color w:val="auto"/>
          <w:sz w:val="32"/>
          <w:szCs w:val="32"/>
          <w:lang w:val="en-US" w:eastAsia="zh-CN"/>
        </w:rPr>
        <w:t xml:space="preserve">  规定了国有不动产出租出借的审批权限</w:t>
      </w:r>
      <w:r>
        <w:rPr>
          <w:rFonts w:hint="eastAsia" w:ascii="仿宋_GB2312" w:hAnsi="仿宋_GB2312" w:eastAsia="仿宋_GB2312" w:cs="仿宋_GB2312"/>
          <w:color w:val="auto"/>
          <w:sz w:val="32"/>
          <w:szCs w:val="32"/>
          <w:lang w:eastAsia="zh-CN"/>
        </w:rPr>
        <w:t>。</w:t>
      </w:r>
    </w:p>
    <w:p w14:paraId="65B45699">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由行业主管部门、资产主管部门、资产主管部门汇报审批进行分级审批。</w:t>
      </w:r>
    </w:p>
    <w:p w14:paraId="199A797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b/>
          <w:bCs/>
          <w:color w:val="000000"/>
          <w:sz w:val="32"/>
          <w:szCs w:val="32"/>
          <w:lang w:val="en-US" w:eastAsia="zh-CN"/>
        </w:rPr>
        <w:t xml:space="preserve">第六章  </w:t>
      </w:r>
      <w:r>
        <w:rPr>
          <w:rFonts w:hint="eastAsia" w:ascii="仿宋_GB2312" w:hAnsi="仿宋_GB2312" w:eastAsia="仿宋_GB2312" w:cs="仿宋_GB2312"/>
          <w:color w:val="000000"/>
          <w:sz w:val="32"/>
          <w:szCs w:val="32"/>
          <w:lang w:val="en-US" w:eastAsia="zh-CN"/>
        </w:rPr>
        <w:t>规定了国有不动产出租出借的</w:t>
      </w:r>
      <w:r>
        <w:rPr>
          <w:rFonts w:hint="eastAsia" w:ascii="仿宋_GB2312" w:hAnsi="仿宋_GB2312" w:eastAsia="仿宋_GB2312" w:cs="仿宋_GB2312"/>
          <w:color w:val="000000"/>
          <w:sz w:val="32"/>
          <w:szCs w:val="32"/>
        </w:rPr>
        <w:t>审批</w:t>
      </w:r>
      <w:r>
        <w:rPr>
          <w:rFonts w:hint="eastAsia" w:ascii="仿宋_GB2312" w:hAnsi="仿宋_GB2312" w:eastAsia="仿宋_GB2312" w:cs="仿宋_GB2312"/>
          <w:color w:val="000000"/>
          <w:sz w:val="32"/>
          <w:szCs w:val="32"/>
          <w:lang w:eastAsia="zh-CN"/>
        </w:rPr>
        <w:t>程序。</w:t>
      </w:r>
    </w:p>
    <w:p w14:paraId="49BC3F5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按照单位申请、审核、审批、招租、备案的程序进行。</w:t>
      </w:r>
    </w:p>
    <w:p w14:paraId="6104FCBE">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color w:val="auto"/>
          <w:sz w:val="32"/>
          <w:szCs w:val="32"/>
          <w:lang w:val="en-US" w:eastAsia="zh-CN"/>
        </w:rPr>
        <w:t xml:space="preserve">第七章  </w:t>
      </w:r>
      <w:r>
        <w:rPr>
          <w:rFonts w:hint="eastAsia" w:ascii="仿宋_GB2312" w:hAnsi="仿宋_GB2312" w:eastAsia="仿宋_GB2312" w:cs="仿宋_GB2312"/>
          <w:b w:val="0"/>
          <w:bCs w:val="0"/>
          <w:color w:val="auto"/>
          <w:sz w:val="32"/>
          <w:szCs w:val="32"/>
          <w:lang w:val="en-US" w:eastAsia="zh-CN"/>
        </w:rPr>
        <w:t>规定了</w:t>
      </w:r>
      <w:r>
        <w:rPr>
          <w:rFonts w:hint="eastAsia" w:ascii="仿宋_GB2312" w:hAnsi="仿宋_GB2312" w:eastAsia="仿宋_GB2312" w:cs="仿宋_GB2312"/>
          <w:color w:val="000000"/>
          <w:sz w:val="32"/>
          <w:szCs w:val="32"/>
          <w:lang w:val="en-US" w:eastAsia="zh-CN"/>
        </w:rPr>
        <w:t>国有不动产出租出借管理的内容</w:t>
      </w:r>
      <w:r>
        <w:rPr>
          <w:rFonts w:hint="eastAsia" w:ascii="仿宋_GB2312" w:hAnsi="仿宋_GB2312" w:eastAsia="仿宋_GB2312" w:cs="仿宋_GB2312"/>
          <w:b w:val="0"/>
          <w:bCs w:val="0"/>
          <w:color w:val="auto"/>
          <w:sz w:val="32"/>
          <w:szCs w:val="32"/>
          <w:lang w:eastAsia="zh-CN"/>
        </w:rPr>
        <w:t>。</w:t>
      </w:r>
    </w:p>
    <w:p w14:paraId="03D24E0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eastAsia="zh-CN"/>
        </w:rPr>
        <w:t>单位承担对出租出借国有不动产的日常管理职能，应盘活闲置国有不动产，提高国有资产使用效益。</w:t>
      </w:r>
    </w:p>
    <w:p w14:paraId="54925F28">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bCs/>
          <w:color w:val="auto"/>
          <w:spacing w:val="0"/>
          <w:w w:val="100"/>
          <w:position w:val="0"/>
          <w:sz w:val="32"/>
          <w:szCs w:val="32"/>
          <w:lang w:val="en-US" w:eastAsia="zh-CN"/>
        </w:rPr>
        <w:t xml:space="preserve">第八章  </w:t>
      </w:r>
      <w:r>
        <w:rPr>
          <w:rFonts w:hint="eastAsia" w:ascii="仿宋_GB2312" w:hAnsi="仿宋_GB2312" w:eastAsia="仿宋_GB2312" w:cs="仿宋_GB2312"/>
          <w:b w:val="0"/>
          <w:bCs w:val="0"/>
          <w:color w:val="auto"/>
          <w:sz w:val="32"/>
          <w:szCs w:val="32"/>
          <w:lang w:val="en-US" w:eastAsia="zh-CN"/>
        </w:rPr>
        <w:t>规定了</w:t>
      </w:r>
      <w:r>
        <w:rPr>
          <w:rFonts w:hint="eastAsia" w:ascii="仿宋_GB2312" w:hAnsi="仿宋_GB2312" w:eastAsia="仿宋_GB2312" w:cs="仿宋_GB2312"/>
          <w:color w:val="000000"/>
          <w:sz w:val="32"/>
          <w:szCs w:val="32"/>
          <w:lang w:val="en-US" w:eastAsia="zh-CN"/>
        </w:rPr>
        <w:t>国有不动产出租出借档案管理的内容</w:t>
      </w:r>
      <w:r>
        <w:rPr>
          <w:rFonts w:hint="eastAsia" w:ascii="仿宋_GB2312" w:hAnsi="仿宋_GB2312" w:eastAsia="仿宋_GB2312" w:cs="仿宋_GB2312"/>
          <w:b w:val="0"/>
          <w:bCs w:val="0"/>
          <w:color w:val="auto"/>
          <w:sz w:val="32"/>
          <w:szCs w:val="32"/>
          <w:lang w:eastAsia="zh-CN"/>
        </w:rPr>
        <w:t>。</w:t>
      </w:r>
    </w:p>
    <w:p w14:paraId="476A0FCC">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pacing w:val="0"/>
          <w:w w:val="100"/>
          <w:position w:val="0"/>
          <w:sz w:val="32"/>
          <w:szCs w:val="32"/>
          <w:lang w:val="en-US" w:eastAsia="en-US" w:bidi="en-US"/>
        </w:rPr>
      </w:pPr>
      <w:r>
        <w:rPr>
          <w:rFonts w:hint="eastAsia" w:ascii="仿宋_GB2312" w:hAnsi="仿宋_GB2312" w:eastAsia="仿宋_GB2312" w:cs="仿宋_GB2312"/>
          <w:color w:val="auto"/>
          <w:spacing w:val="0"/>
          <w:w w:val="100"/>
          <w:position w:val="0"/>
          <w:sz w:val="32"/>
          <w:szCs w:val="32"/>
          <w:lang w:val="en-US" w:eastAsia="en-US" w:bidi="en-US"/>
        </w:rPr>
        <w:t>应建立出租出借管理台账，加强相关档案的保存和管理</w:t>
      </w:r>
      <w:r>
        <w:rPr>
          <w:rFonts w:hint="eastAsia" w:ascii="仿宋_GB2312" w:hAnsi="仿宋_GB2312" w:eastAsia="仿宋_GB2312" w:cs="仿宋_GB2312"/>
          <w:color w:val="auto"/>
          <w:spacing w:val="0"/>
          <w:w w:val="100"/>
          <w:position w:val="0"/>
          <w:sz w:val="32"/>
          <w:szCs w:val="32"/>
          <w:lang w:val="en-US" w:eastAsia="zh-CN" w:bidi="en-US"/>
        </w:rPr>
        <w:t>；</w:t>
      </w:r>
      <w:r>
        <w:rPr>
          <w:rFonts w:hint="eastAsia" w:ascii="仿宋_GB2312" w:hAnsi="仿宋_GB2312" w:eastAsia="仿宋_GB2312" w:cs="仿宋_GB2312"/>
          <w:color w:val="auto"/>
          <w:spacing w:val="0"/>
          <w:w w:val="100"/>
          <w:position w:val="0"/>
          <w:sz w:val="32"/>
          <w:szCs w:val="32"/>
          <w:lang w:val="en-US" w:eastAsia="en-US" w:bidi="en-US"/>
        </w:rPr>
        <w:t>应以“及时、准确、完整、真实”为原则，建立从审批、招租、到签订合同的全过程档案管理</w:t>
      </w:r>
      <w:r>
        <w:rPr>
          <w:rFonts w:hint="eastAsia" w:ascii="仿宋_GB2312" w:hAnsi="仿宋_GB2312" w:eastAsia="仿宋_GB2312" w:cs="仿宋_GB2312"/>
          <w:color w:val="auto"/>
          <w:spacing w:val="0"/>
          <w:w w:val="100"/>
          <w:position w:val="0"/>
          <w:sz w:val="32"/>
          <w:szCs w:val="32"/>
          <w:lang w:val="en-US" w:eastAsia="zh-CN" w:bidi="en-US"/>
        </w:rPr>
        <w:t>；</w:t>
      </w:r>
      <w:r>
        <w:rPr>
          <w:rFonts w:hint="eastAsia" w:ascii="仿宋_GB2312" w:hAnsi="仿宋_GB2312" w:eastAsia="仿宋_GB2312" w:cs="仿宋_GB2312"/>
          <w:color w:val="auto"/>
          <w:spacing w:val="0"/>
          <w:w w:val="100"/>
          <w:position w:val="0"/>
          <w:sz w:val="32"/>
          <w:szCs w:val="32"/>
          <w:lang w:val="en-US" w:eastAsia="en-US" w:bidi="en-US"/>
        </w:rPr>
        <w:t>出租出借档案主要包括审批材料、招租材料、合同材料等。</w:t>
      </w:r>
    </w:p>
    <w:p w14:paraId="013DA716">
      <w:pPr>
        <w:keepNext w:val="0"/>
        <w:keepLines w:val="0"/>
        <w:pageBreakBefore w:val="0"/>
        <w:widowControl w:val="0"/>
        <w:numPr>
          <w:ilvl w:val="0"/>
          <w:numId w:val="5"/>
        </w:numPr>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pacing w:val="0"/>
          <w:w w:val="100"/>
          <w:position w:val="0"/>
          <w:sz w:val="32"/>
          <w:szCs w:val="32"/>
          <w:lang w:eastAsia="zh-CN"/>
        </w:rPr>
      </w:pPr>
      <w:r>
        <w:rPr>
          <w:rFonts w:hint="eastAsia" w:ascii="仿宋_GB2312" w:hAnsi="仿宋_GB2312" w:eastAsia="仿宋_GB2312" w:cs="仿宋_GB2312"/>
          <w:b/>
          <w:bCs/>
          <w:color w:val="auto"/>
          <w:spacing w:val="0"/>
          <w:w w:val="100"/>
          <w:position w:val="0"/>
          <w:sz w:val="32"/>
          <w:szCs w:val="32"/>
          <w:lang w:val="en-US" w:eastAsia="zh-CN"/>
        </w:rPr>
        <w:t xml:space="preserve"> </w:t>
      </w:r>
      <w:r>
        <w:rPr>
          <w:rFonts w:hint="eastAsia" w:ascii="仿宋_GB2312" w:hAnsi="仿宋_GB2312" w:eastAsia="仿宋_GB2312" w:cs="仿宋_GB2312"/>
          <w:color w:val="auto"/>
          <w:spacing w:val="0"/>
          <w:w w:val="100"/>
          <w:position w:val="0"/>
          <w:sz w:val="32"/>
          <w:szCs w:val="32"/>
          <w:lang w:val="en-US" w:eastAsia="zh-CN"/>
        </w:rPr>
        <w:t>规定了</w:t>
      </w:r>
      <w:r>
        <w:rPr>
          <w:rFonts w:hint="eastAsia" w:ascii="仿宋_GB2312" w:hAnsi="仿宋_GB2312" w:eastAsia="仿宋_GB2312" w:cs="仿宋_GB2312"/>
          <w:b w:val="0"/>
          <w:bCs w:val="0"/>
          <w:color w:val="auto"/>
          <w:sz w:val="32"/>
          <w:szCs w:val="32"/>
          <w:lang w:val="en-US" w:eastAsia="zh-CN"/>
        </w:rPr>
        <w:t>规定了</w:t>
      </w:r>
      <w:r>
        <w:rPr>
          <w:rFonts w:hint="eastAsia" w:ascii="仿宋_GB2312" w:hAnsi="仿宋_GB2312" w:eastAsia="仿宋_GB2312" w:cs="仿宋_GB2312"/>
          <w:color w:val="000000"/>
          <w:sz w:val="32"/>
          <w:szCs w:val="32"/>
          <w:lang w:val="en-US" w:eastAsia="zh-CN"/>
        </w:rPr>
        <w:t>国有不动产出租出借管理的</w:t>
      </w:r>
      <w:r>
        <w:rPr>
          <w:rFonts w:hint="eastAsia" w:ascii="仿宋_GB2312" w:hAnsi="仿宋_GB2312" w:eastAsia="仿宋_GB2312" w:cs="仿宋_GB2312"/>
          <w:color w:val="auto"/>
          <w:spacing w:val="0"/>
          <w:w w:val="100"/>
          <w:position w:val="0"/>
          <w:sz w:val="32"/>
          <w:szCs w:val="32"/>
        </w:rPr>
        <w:t>监督检查</w:t>
      </w:r>
      <w:r>
        <w:rPr>
          <w:rFonts w:hint="eastAsia" w:ascii="仿宋_GB2312" w:hAnsi="仿宋_GB2312" w:eastAsia="仿宋_GB2312" w:cs="仿宋_GB2312"/>
          <w:color w:val="auto"/>
          <w:spacing w:val="0"/>
          <w:w w:val="100"/>
          <w:position w:val="0"/>
          <w:sz w:val="32"/>
          <w:szCs w:val="32"/>
          <w:lang w:eastAsia="zh-CN"/>
        </w:rPr>
        <w:t>。</w:t>
      </w:r>
    </w:p>
    <w:p w14:paraId="68EBC0E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auto"/>
          <w:spacing w:val="0"/>
          <w:w w:val="100"/>
          <w:position w:val="0"/>
          <w:sz w:val="32"/>
          <w:szCs w:val="32"/>
          <w:lang w:val="en-US" w:eastAsia="zh-CN"/>
        </w:rPr>
        <w:t>资产主管部门对国有不动产出租出借情况进行指导和监督；各单位及其工作人员，应认真履行国有不动产出租出借的管理职责，做好国有不动产出租出借管理工作，自觉接受资产主管部门等有关部门的监督检查</w:t>
      </w:r>
      <w:r>
        <w:rPr>
          <w:rFonts w:hint="eastAsia" w:ascii="仿宋_GB2312" w:hAnsi="仿宋_GB2312" w:eastAsia="仿宋_GB2312" w:cs="仿宋_GB2312"/>
          <w:color w:val="auto"/>
          <w:spacing w:val="0"/>
          <w:w w:val="100"/>
          <w:position w:val="0"/>
          <w:sz w:val="32"/>
          <w:szCs w:val="32"/>
          <w:lang w:eastAsia="zh-CN"/>
        </w:rPr>
        <w:t>；</w:t>
      </w:r>
      <w:r>
        <w:rPr>
          <w:rFonts w:hint="eastAsia" w:ascii="仿宋_GB2312" w:hAnsi="仿宋_GB2312" w:eastAsia="仿宋_GB2312" w:cs="仿宋_GB2312"/>
          <w:color w:val="auto"/>
          <w:spacing w:val="0"/>
          <w:w w:val="100"/>
          <w:position w:val="0"/>
          <w:sz w:val="32"/>
          <w:szCs w:val="32"/>
          <w:lang w:val="en-US" w:eastAsia="zh-CN"/>
        </w:rPr>
        <w:t>违规国有不动产出租出借</w:t>
      </w:r>
      <w:r>
        <w:rPr>
          <w:rFonts w:hint="eastAsia" w:ascii="仿宋_GB2312" w:hAnsi="仿宋_GB2312" w:eastAsia="仿宋_GB2312" w:cs="仿宋_GB2312"/>
          <w:color w:val="auto"/>
          <w:spacing w:val="0"/>
          <w:w w:val="100"/>
          <w:position w:val="0"/>
          <w:sz w:val="32"/>
          <w:szCs w:val="32"/>
        </w:rPr>
        <w:t>，按有关</w:t>
      </w:r>
      <w:r>
        <w:rPr>
          <w:rFonts w:hint="eastAsia" w:ascii="仿宋_GB2312" w:hAnsi="仿宋_GB2312" w:eastAsia="仿宋_GB2312" w:cs="仿宋_GB2312"/>
          <w:color w:val="auto"/>
          <w:spacing w:val="0"/>
          <w:w w:val="100"/>
          <w:position w:val="0"/>
          <w:sz w:val="32"/>
          <w:szCs w:val="32"/>
          <w:lang w:val="en-US" w:eastAsia="zh-CN"/>
        </w:rPr>
        <w:t>法律</w:t>
      </w:r>
      <w:r>
        <w:rPr>
          <w:rFonts w:hint="eastAsia" w:ascii="仿宋_GB2312" w:hAnsi="仿宋_GB2312" w:eastAsia="仿宋_GB2312" w:cs="仿宋_GB2312"/>
          <w:color w:val="auto"/>
          <w:spacing w:val="0"/>
          <w:w w:val="100"/>
          <w:position w:val="0"/>
          <w:sz w:val="32"/>
          <w:szCs w:val="32"/>
        </w:rPr>
        <w:t>规定</w:t>
      </w:r>
      <w:r>
        <w:rPr>
          <w:rFonts w:hint="eastAsia" w:ascii="仿宋_GB2312" w:hAnsi="仿宋_GB2312" w:eastAsia="仿宋_GB2312" w:cs="仿宋_GB2312"/>
          <w:color w:val="auto"/>
          <w:spacing w:val="0"/>
          <w:w w:val="100"/>
          <w:position w:val="0"/>
          <w:sz w:val="32"/>
          <w:szCs w:val="32"/>
          <w:lang w:val="en-US" w:eastAsia="zh-CN"/>
        </w:rPr>
        <w:t>处理</w:t>
      </w:r>
      <w:r>
        <w:rPr>
          <w:rFonts w:hint="eastAsia" w:ascii="仿宋_GB2312" w:hAnsi="仿宋_GB2312" w:eastAsia="仿宋_GB2312" w:cs="仿宋_GB2312"/>
          <w:color w:val="auto"/>
          <w:spacing w:val="0"/>
          <w:w w:val="100"/>
          <w:position w:val="0"/>
          <w:sz w:val="32"/>
          <w:szCs w:val="32"/>
          <w:lang w:eastAsia="zh-CN"/>
        </w:rPr>
        <w:t>。</w:t>
      </w:r>
    </w:p>
    <w:p w14:paraId="352B355A">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五、重大分歧意见的处理过程和依据</w:t>
      </w:r>
    </w:p>
    <w:p w14:paraId="466ABE5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sz w:val="32"/>
          <w:szCs w:val="32"/>
          <w:lang w:val="en-US" w:eastAsia="zh-CN"/>
        </w:rPr>
        <w:t>本次标准的制定过程采用发出书面征求意见稿和召开座谈会的形式进行意见征集，对收集到的意见进行归纳整理，未出现重大意见分歧，对于其他意见分别作了处理。</w:t>
      </w:r>
    </w:p>
    <w:p w14:paraId="3A869403">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黑体" w:hAnsi="黑体" w:eastAsia="黑体" w:cs="黑体"/>
          <w:color w:val="000000"/>
          <w:kern w:val="0"/>
          <w:sz w:val="32"/>
          <w:szCs w:val="32"/>
          <w:lang w:val="en-US" w:eastAsia="zh-CN" w:bidi="ar"/>
        </w:rPr>
        <w:t>六、与相关法律法规和国家标准的关系</w:t>
      </w:r>
      <w:r>
        <w:rPr>
          <w:rFonts w:hint="eastAsia" w:ascii="仿宋_GB2312" w:hAnsi="仿宋_GB2312" w:eastAsia="仿宋_GB2312" w:cs="仿宋_GB2312"/>
          <w:color w:val="000000"/>
          <w:kern w:val="0"/>
          <w:sz w:val="32"/>
          <w:szCs w:val="32"/>
          <w:lang w:val="en-US" w:eastAsia="zh-CN" w:bidi="ar"/>
        </w:rPr>
        <w:t xml:space="preserve"> </w:t>
      </w:r>
    </w:p>
    <w:p w14:paraId="640F60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《市级行政事业性国有不动产出租出借实施规范》地方标准的编制遵循规范性、一致性和可操作性的原则。标准内容与现行法律法规和强制性国家标准的要求一致，不存在违背问题。</w:t>
      </w:r>
    </w:p>
    <w:p w14:paraId="47E5FCBF">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 xml:space="preserve">七、推广实施建议 </w:t>
      </w:r>
    </w:p>
    <w:p w14:paraId="6295121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（一）加强政策宣传与培训</w:t>
      </w:r>
    </w:p>
    <w:p w14:paraId="0B24350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政策解读与宣传。通过官方网站、内部发文、座谈会等多种渠道，全面解读《市级行政事业性国有不动产出租出借实施规范》的内容、目的和意义，提高市级行政事业单位对政策的理解和重视程度。</w:t>
      </w:r>
    </w:p>
    <w:p w14:paraId="2BE31AC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组织专题培训。邀请财政、机关事务管理等部门的专家，对市级行政事业单位的资产管理人员进行专题培训，确保他们熟练掌握资产处置的流程、标准和要求。</w:t>
      </w:r>
    </w:p>
    <w:p w14:paraId="62BD3601">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（二）强化监督与考核</w:t>
      </w:r>
    </w:p>
    <w:p w14:paraId="0D2D48E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加强监督检查。加强对市级行政事业性国有不动产出租出借的监督检查，确保合法合规性。</w:t>
      </w:r>
    </w:p>
    <w:p w14:paraId="446EEFE5">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纳入绩效考核。将市级行政事业性国有不动产出租出借管理纳入行政事业单位的绩效考核体系，对工作成效显著的单位给予表彰和奖励，对工作不力的单位进行通报批评和问责。</w:t>
      </w:r>
    </w:p>
    <w:p w14:paraId="4CF5411D">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（三）推广成功经验与案例</w:t>
      </w:r>
    </w:p>
    <w:p w14:paraId="46A523DC">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总结成功案例。积极挖掘和推广在市级行政事业性国有不动产出租出借管理方面取得显著成效的行政事业单位的成功经验和做法，通过案例分享、现场观摩等方式，促进经验的交流和传播。</w:t>
      </w:r>
    </w:p>
    <w:p w14:paraId="4E8889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加强交流合作。鼓励各单位之间加强交流合作，共同研究解决国有不动产出租出借处置管理中的难点和热点问题，推动市级行政事业性国有不动产出租出借管理工作的整体提升。</w:t>
      </w:r>
    </w:p>
    <w:p w14:paraId="58BCE794">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（四）注重信息化建设</w:t>
      </w:r>
    </w:p>
    <w:p w14:paraId="299D61F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完善信息系统。充分利用现代信息技术手段，完善市级行政事业性国有不动产出租出借信息管理系统，提高管理效率和透明度。</w:t>
      </w:r>
    </w:p>
    <w:p w14:paraId="3D5163B3">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（五）持续跟踪与评估</w:t>
      </w:r>
    </w:p>
    <w:p w14:paraId="01C7AB3E">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建立反馈机制。建立市级行政事业性国有不动产出租出借管理的反馈机制，及时收集和处理各方面的意见和建议，不断完善政策和管理措施。</w:t>
      </w:r>
    </w:p>
    <w:p w14:paraId="664428D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定期评估效果。定期对《市级行政事业性国有不动产出租出借实施规范》的实施效果进行评估，总结经验教训，及时调整和优化政策措施，必要时对标准进行修订。</w:t>
      </w:r>
    </w:p>
    <w:p w14:paraId="46797E53">
      <w:pPr>
        <w:keepNext w:val="0"/>
        <w:keepLines w:val="0"/>
        <w:pageBreakBefore w:val="0"/>
        <w:widowControl/>
        <w:suppressLineNumbers w:val="0"/>
        <w:kinsoku/>
        <w:wordWrap/>
        <w:overflowPunct/>
        <w:topLinePunct w:val="0"/>
        <w:autoSpaceDE/>
        <w:autoSpaceDN/>
        <w:bidi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bidi="ar"/>
        </w:rPr>
      </w:pPr>
      <w:r>
        <w:rPr>
          <w:rFonts w:hint="eastAsia" w:ascii="黑体" w:hAnsi="黑体" w:eastAsia="黑体" w:cs="黑体"/>
          <w:color w:val="000000"/>
          <w:kern w:val="0"/>
          <w:sz w:val="32"/>
          <w:szCs w:val="32"/>
          <w:lang w:val="en-US" w:eastAsia="zh-CN" w:bidi="ar"/>
        </w:rPr>
        <w:t>八、起草单位和起草人员信息及分工</w:t>
      </w:r>
    </w:p>
    <w:p w14:paraId="43D317FA">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 起草单位</w:t>
      </w:r>
    </w:p>
    <w:tbl>
      <w:tblPr>
        <w:tblStyle w:val="3"/>
        <w:tblW w:w="9061" w:type="dxa"/>
        <w:tblInd w:w="-34"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2721"/>
        <w:gridCol w:w="2524"/>
        <w:gridCol w:w="1417"/>
        <w:gridCol w:w="1549"/>
      </w:tblGrid>
      <w:tr w14:paraId="740ACA3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trPr>
        <w:tc>
          <w:tcPr>
            <w:tcW w:w="850" w:type="dxa"/>
            <w:noWrap w:val="0"/>
            <w:vAlign w:val="center"/>
          </w:tcPr>
          <w:p w14:paraId="3933D589">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序号</w:t>
            </w:r>
          </w:p>
        </w:tc>
        <w:tc>
          <w:tcPr>
            <w:tcW w:w="2721" w:type="dxa"/>
            <w:noWrap w:val="0"/>
            <w:vAlign w:val="center"/>
          </w:tcPr>
          <w:p w14:paraId="1650987D">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单位名称</w:t>
            </w:r>
          </w:p>
        </w:tc>
        <w:tc>
          <w:tcPr>
            <w:tcW w:w="2524" w:type="dxa"/>
            <w:noWrap w:val="0"/>
            <w:vAlign w:val="center"/>
          </w:tcPr>
          <w:p w14:paraId="22032FCD">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统一社会信用代码</w:t>
            </w:r>
          </w:p>
        </w:tc>
        <w:tc>
          <w:tcPr>
            <w:tcW w:w="1417" w:type="dxa"/>
            <w:noWrap w:val="0"/>
            <w:vAlign w:val="center"/>
          </w:tcPr>
          <w:p w14:paraId="34806676">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联系人</w:t>
            </w:r>
          </w:p>
        </w:tc>
        <w:tc>
          <w:tcPr>
            <w:tcW w:w="1549" w:type="dxa"/>
            <w:noWrap w:val="0"/>
            <w:vAlign w:val="center"/>
          </w:tcPr>
          <w:p w14:paraId="1200C1CF">
            <w:pPr>
              <w:keepNext w:val="0"/>
              <w:keepLines w:val="0"/>
              <w:pageBreakBefore w:val="0"/>
              <w:kinsoku/>
              <w:wordWrap/>
              <w:overflowPunct/>
              <w:topLinePunct w:val="0"/>
              <w:autoSpaceDE/>
              <w:autoSpaceDN/>
              <w:bidi w:val="0"/>
              <w:snapToGrid w:val="0"/>
              <w:spacing w:line="56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联系电话</w:t>
            </w:r>
          </w:p>
        </w:tc>
      </w:tr>
      <w:tr w14:paraId="67081228">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rPr>
        <w:tc>
          <w:tcPr>
            <w:tcW w:w="850" w:type="dxa"/>
            <w:noWrap w:val="0"/>
            <w:vAlign w:val="center"/>
          </w:tcPr>
          <w:p w14:paraId="4E5A954B">
            <w:pPr>
              <w:keepNext w:val="0"/>
              <w:keepLines w:val="0"/>
              <w:pageBreakBefore w:val="0"/>
              <w:kinsoku/>
              <w:wordWrap/>
              <w:overflowPunct/>
              <w:topLinePunct w:val="0"/>
              <w:autoSpaceDE/>
              <w:autoSpaceDN/>
              <w:bidi w:val="0"/>
              <w:snapToGrid w:val="0"/>
              <w:spacing w:line="560" w:lineRule="exact"/>
              <w:jc w:val="center"/>
              <w:textAlignment w:val="auto"/>
              <w:rPr>
                <w:rFonts w:hint="eastAsia" w:ascii="Times New Roman" w:hAnsi="Times New Roman" w:eastAsia="方正仿宋_GBK" w:cs="Times New Roman"/>
                <w:b w:val="0"/>
                <w:bCs/>
                <w:snapToGrid/>
                <w:color w:val="auto"/>
                <w:kern w:val="2"/>
                <w:sz w:val="21"/>
                <w:szCs w:val="21"/>
                <w:lang w:val="en-US" w:eastAsia="zh-CN"/>
              </w:rPr>
            </w:pPr>
            <w:r>
              <w:rPr>
                <w:rFonts w:hint="eastAsia" w:ascii="Times New Roman" w:hAnsi="Times New Roman" w:eastAsia="方正仿宋_GBK" w:cs="Times New Roman"/>
                <w:b w:val="0"/>
                <w:bCs/>
                <w:snapToGrid/>
                <w:color w:val="auto"/>
                <w:kern w:val="2"/>
                <w:sz w:val="21"/>
                <w:szCs w:val="21"/>
                <w:lang w:val="en-US" w:eastAsia="zh-CN"/>
              </w:rPr>
              <w:t>1</w:t>
            </w:r>
          </w:p>
        </w:tc>
        <w:tc>
          <w:tcPr>
            <w:tcW w:w="2721" w:type="dxa"/>
            <w:noWrap w:val="0"/>
            <w:vAlign w:val="center"/>
          </w:tcPr>
          <w:p w14:paraId="5B2E3B04">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连云港市机关事务管理局</w:t>
            </w:r>
          </w:p>
        </w:tc>
        <w:tc>
          <w:tcPr>
            <w:tcW w:w="2524" w:type="dxa"/>
            <w:noWrap w:val="0"/>
            <w:vAlign w:val="center"/>
          </w:tcPr>
          <w:p w14:paraId="7CCC3C21">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仿宋_GB2312" w:cs="Times New Roman"/>
                <w:b w:val="0"/>
                <w:bCs/>
                <w:snapToGrid/>
                <w:color w:val="auto"/>
                <w:kern w:val="2"/>
                <w:sz w:val="21"/>
                <w:szCs w:val="21"/>
                <w:lang w:eastAsia="zh-CN"/>
              </w:rPr>
            </w:pPr>
            <w:r>
              <w:rPr>
                <w:rFonts w:hint="default" w:ascii="Times New Roman" w:hAnsi="Times New Roman" w:eastAsia="仿宋_GB2312" w:cs="Times New Roman"/>
                <w:b w:val="0"/>
                <w:bCs/>
                <w:snapToGrid/>
                <w:color w:val="auto"/>
                <w:kern w:val="2"/>
                <w:sz w:val="21"/>
                <w:szCs w:val="21"/>
                <w:lang w:eastAsia="zh-CN"/>
              </w:rPr>
              <w:t>11320700014252911Q</w:t>
            </w:r>
          </w:p>
        </w:tc>
        <w:tc>
          <w:tcPr>
            <w:tcW w:w="1417" w:type="dxa"/>
            <w:noWrap w:val="0"/>
            <w:vAlign w:val="center"/>
          </w:tcPr>
          <w:p w14:paraId="3471A411">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贾焕超</w:t>
            </w:r>
          </w:p>
        </w:tc>
        <w:tc>
          <w:tcPr>
            <w:tcW w:w="1549" w:type="dxa"/>
            <w:noWrap w:val="0"/>
            <w:vAlign w:val="center"/>
          </w:tcPr>
          <w:p w14:paraId="77FD2583">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仿宋_GB2312" w:cs="Times New Roman"/>
                <w:b w:val="0"/>
                <w:bCs/>
                <w:snapToGrid/>
                <w:color w:val="auto"/>
                <w:kern w:val="2"/>
                <w:sz w:val="21"/>
                <w:szCs w:val="21"/>
                <w:lang w:val="en-US" w:eastAsia="zh-CN"/>
              </w:rPr>
            </w:pPr>
            <w:r>
              <w:rPr>
                <w:rFonts w:hint="eastAsia" w:ascii="Times New Roman" w:hAnsi="Times New Roman" w:eastAsia="仿宋_GB2312" w:cs="Times New Roman"/>
                <w:b w:val="0"/>
                <w:bCs/>
                <w:snapToGrid/>
                <w:color w:val="auto"/>
                <w:kern w:val="2"/>
                <w:sz w:val="21"/>
                <w:szCs w:val="21"/>
                <w:lang w:val="en-US" w:eastAsia="zh-CN"/>
              </w:rPr>
              <w:t>85804395</w:t>
            </w:r>
          </w:p>
        </w:tc>
      </w:tr>
    </w:tbl>
    <w:p w14:paraId="4C8861EB">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2.起草人员及分工</w:t>
      </w:r>
    </w:p>
    <w:tbl>
      <w:tblPr>
        <w:tblStyle w:val="3"/>
        <w:tblW w:w="9061" w:type="dxa"/>
        <w:tblInd w:w="-34" w:type="dxa"/>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278"/>
        <w:gridCol w:w="1980"/>
        <w:gridCol w:w="1487"/>
        <w:gridCol w:w="1593"/>
        <w:gridCol w:w="1933"/>
      </w:tblGrid>
      <w:tr w14:paraId="46C56A7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90" w:type="dxa"/>
            <w:noWrap w:val="0"/>
            <w:vAlign w:val="center"/>
          </w:tcPr>
          <w:p w14:paraId="19FCBCDF">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序号</w:t>
            </w:r>
          </w:p>
        </w:tc>
        <w:tc>
          <w:tcPr>
            <w:tcW w:w="1278" w:type="dxa"/>
            <w:noWrap w:val="0"/>
            <w:vAlign w:val="center"/>
          </w:tcPr>
          <w:p w14:paraId="6A69C856">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姓名</w:t>
            </w:r>
          </w:p>
        </w:tc>
        <w:tc>
          <w:tcPr>
            <w:tcW w:w="1980" w:type="dxa"/>
            <w:noWrap w:val="0"/>
            <w:vAlign w:val="center"/>
          </w:tcPr>
          <w:p w14:paraId="1BBECA45">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单位名称</w:t>
            </w:r>
          </w:p>
        </w:tc>
        <w:tc>
          <w:tcPr>
            <w:tcW w:w="1487" w:type="dxa"/>
            <w:noWrap w:val="0"/>
            <w:vAlign w:val="center"/>
          </w:tcPr>
          <w:p w14:paraId="136534B5">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职务</w:t>
            </w:r>
          </w:p>
          <w:p w14:paraId="0D738309">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/职称</w:t>
            </w:r>
          </w:p>
        </w:tc>
        <w:tc>
          <w:tcPr>
            <w:tcW w:w="1593" w:type="dxa"/>
            <w:noWrap w:val="0"/>
            <w:vAlign w:val="center"/>
          </w:tcPr>
          <w:p w14:paraId="6BDB4544">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项目分工</w:t>
            </w:r>
          </w:p>
        </w:tc>
        <w:tc>
          <w:tcPr>
            <w:tcW w:w="1933" w:type="dxa"/>
            <w:noWrap w:val="0"/>
            <w:vAlign w:val="center"/>
          </w:tcPr>
          <w:p w14:paraId="19875E11">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参与重要标准</w:t>
            </w:r>
          </w:p>
          <w:p w14:paraId="1894FF49">
            <w:pPr>
              <w:keepNext w:val="0"/>
              <w:keepLines w:val="0"/>
              <w:pageBreakBefore w:val="0"/>
              <w:widowControl w:val="0"/>
              <w:kinsoku/>
              <w:wordWrap/>
              <w:overflowPunct/>
              <w:topLinePunct w:val="0"/>
              <w:autoSpaceDE/>
              <w:autoSpaceDN/>
              <w:bidi w:val="0"/>
              <w:adjustRightInd/>
              <w:snapToGrid w:val="0"/>
              <w:spacing w:line="340" w:lineRule="exact"/>
              <w:ind w:firstLine="0"/>
              <w:jc w:val="center"/>
              <w:textAlignment w:val="auto"/>
              <w:rPr>
                <w:rFonts w:hint="default" w:ascii="Times New Roman" w:hAnsi="Times New Roman" w:eastAsia="黑体" w:cs="Times New Roman"/>
                <w:b w:val="0"/>
                <w:bCs/>
                <w:snapToGrid/>
                <w:color w:val="auto"/>
                <w:kern w:val="2"/>
                <w:sz w:val="28"/>
                <w:szCs w:val="28"/>
                <w:lang w:val="en-US" w:eastAsia="zh-CN"/>
              </w:rPr>
            </w:pPr>
            <w:r>
              <w:rPr>
                <w:rFonts w:hint="default" w:ascii="Times New Roman" w:hAnsi="Times New Roman" w:eastAsia="黑体" w:cs="Times New Roman"/>
                <w:b w:val="0"/>
                <w:bCs/>
                <w:snapToGrid/>
                <w:color w:val="auto"/>
                <w:kern w:val="2"/>
                <w:sz w:val="28"/>
                <w:szCs w:val="28"/>
                <w:lang w:val="en-US" w:eastAsia="zh-CN"/>
              </w:rPr>
              <w:t>起草情况</w:t>
            </w:r>
          </w:p>
        </w:tc>
      </w:tr>
      <w:tr w14:paraId="1B76C2AA">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790" w:type="dxa"/>
            <w:noWrap w:val="0"/>
            <w:vAlign w:val="center"/>
          </w:tcPr>
          <w:p w14:paraId="636DDD05">
            <w:pPr>
              <w:keepNext w:val="0"/>
              <w:keepLines w:val="0"/>
              <w:pageBreakBefore w:val="0"/>
              <w:kinsoku/>
              <w:wordWrap/>
              <w:overflowPunct/>
              <w:topLinePunct w:val="0"/>
              <w:autoSpaceDE/>
              <w:autoSpaceDN/>
              <w:bidi w:val="0"/>
              <w:adjustRightInd/>
              <w:snapToGrid w:val="0"/>
              <w:spacing w:line="280" w:lineRule="exact"/>
              <w:jc w:val="center"/>
              <w:textAlignment w:val="auto"/>
              <w:rPr>
                <w:rFonts w:hint="default" w:ascii="Times New Roman" w:hAnsi="Times New Roman" w:eastAsia="宋体" w:cs="Times New Roman"/>
                <w:snapToGrid/>
                <w:color w:val="auto"/>
                <w:kern w:val="2"/>
                <w:sz w:val="21"/>
                <w:szCs w:val="21"/>
                <w:lang w:val="en-US" w:eastAsia="zh-CN"/>
              </w:rPr>
            </w:pPr>
            <w:r>
              <w:rPr>
                <w:rFonts w:hint="eastAsia" w:ascii="Times New Roman" w:hAnsi="Times New Roman" w:eastAsia="宋体" w:cs="Times New Roman"/>
                <w:snapToGrid/>
                <w:color w:val="auto"/>
                <w:kern w:val="2"/>
                <w:sz w:val="21"/>
                <w:szCs w:val="21"/>
                <w:lang w:val="en-US" w:eastAsia="zh-CN"/>
              </w:rPr>
              <w:t>1</w:t>
            </w:r>
          </w:p>
        </w:tc>
        <w:tc>
          <w:tcPr>
            <w:tcW w:w="1278" w:type="dxa"/>
            <w:noWrap w:val="0"/>
            <w:vAlign w:val="center"/>
          </w:tcPr>
          <w:p w14:paraId="0C8A68B2">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贾焕超</w:t>
            </w:r>
          </w:p>
        </w:tc>
        <w:tc>
          <w:tcPr>
            <w:tcW w:w="1980" w:type="dxa"/>
            <w:noWrap w:val="0"/>
            <w:vAlign w:val="center"/>
          </w:tcPr>
          <w:p w14:paraId="5A5AF9CB">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市机关事务管理局</w:t>
            </w:r>
          </w:p>
        </w:tc>
        <w:tc>
          <w:tcPr>
            <w:tcW w:w="1487" w:type="dxa"/>
            <w:noWrap w:val="0"/>
            <w:vAlign w:val="center"/>
          </w:tcPr>
          <w:p w14:paraId="4AD59D37">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0"/>
                <w:szCs w:val="20"/>
                <w:lang w:eastAsia="zh-CN"/>
              </w:rPr>
            </w:pPr>
            <w:r>
              <w:rPr>
                <w:rFonts w:hint="eastAsia" w:ascii="仿宋_GB2312" w:hAnsi="仿宋_GB2312" w:eastAsia="仿宋_GB2312" w:cs="仿宋_GB2312"/>
                <w:b w:val="0"/>
                <w:bCs/>
                <w:snapToGrid/>
                <w:color w:val="auto"/>
                <w:kern w:val="2"/>
                <w:sz w:val="20"/>
                <w:szCs w:val="20"/>
                <w:lang w:eastAsia="zh-CN"/>
              </w:rPr>
              <w:t>中级经济师</w:t>
            </w:r>
          </w:p>
        </w:tc>
        <w:tc>
          <w:tcPr>
            <w:tcW w:w="1593" w:type="dxa"/>
            <w:noWrap w:val="0"/>
            <w:vAlign w:val="center"/>
          </w:tcPr>
          <w:p w14:paraId="3D160517">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标准方案起草、修订，标准资料收集、起草，组织协调等</w:t>
            </w:r>
          </w:p>
        </w:tc>
        <w:tc>
          <w:tcPr>
            <w:tcW w:w="1933" w:type="dxa"/>
            <w:noWrap w:val="0"/>
            <w:vAlign w:val="center"/>
          </w:tcPr>
          <w:p w14:paraId="7FFB8F11">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default" w:ascii="仿宋_GB2312" w:hAnsi="仿宋_GB2312" w:eastAsia="仿宋_GB2312" w:cs="仿宋_GB2312"/>
                <w:b w:val="0"/>
                <w:bCs/>
                <w:snapToGrid/>
                <w:color w:val="auto"/>
                <w:kern w:val="2"/>
                <w:sz w:val="20"/>
                <w:szCs w:val="20"/>
                <w:lang w:val="en-US" w:eastAsia="zh-CN"/>
              </w:rPr>
            </w:pPr>
            <w:r>
              <w:rPr>
                <w:rFonts w:hint="eastAsia" w:ascii="仿宋_GB2312" w:hAnsi="仿宋_GB2312" w:eastAsia="仿宋_GB2312" w:cs="仿宋_GB2312"/>
                <w:b w:val="0"/>
                <w:bCs/>
                <w:snapToGrid/>
                <w:color w:val="auto"/>
                <w:kern w:val="2"/>
                <w:sz w:val="20"/>
                <w:szCs w:val="20"/>
                <w:lang w:val="en-US" w:eastAsia="zh-CN"/>
              </w:rPr>
              <w:t>作为主要起草人，起草多项地方标准</w:t>
            </w:r>
          </w:p>
        </w:tc>
      </w:tr>
      <w:tr w14:paraId="1B208965">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1F467B2A">
            <w:pPr>
              <w:keepNext w:val="0"/>
              <w:keepLines w:val="0"/>
              <w:pageBreakBefore w:val="0"/>
              <w:kinsoku/>
              <w:wordWrap/>
              <w:overflowPunct/>
              <w:topLinePunct w:val="0"/>
              <w:autoSpaceDE/>
              <w:autoSpaceDN/>
              <w:bidi w:val="0"/>
              <w:adjustRightInd/>
              <w:snapToGrid w:val="0"/>
              <w:spacing w:line="280" w:lineRule="exact"/>
              <w:jc w:val="center"/>
              <w:textAlignment w:val="auto"/>
              <w:rPr>
                <w:rFonts w:hint="default" w:ascii="Times New Roman" w:hAnsi="Times New Roman" w:eastAsia="宋体" w:cs="Times New Roman"/>
                <w:snapToGrid/>
                <w:color w:val="auto"/>
                <w:kern w:val="2"/>
                <w:sz w:val="21"/>
                <w:szCs w:val="21"/>
                <w:lang w:val="en-US" w:eastAsia="zh-CN"/>
              </w:rPr>
            </w:pPr>
            <w:r>
              <w:rPr>
                <w:rFonts w:hint="eastAsia" w:ascii="Times New Roman" w:hAnsi="Times New Roman" w:eastAsia="宋体" w:cs="Times New Roman"/>
                <w:snapToGrid/>
                <w:color w:val="auto"/>
                <w:kern w:val="2"/>
                <w:sz w:val="21"/>
                <w:szCs w:val="21"/>
                <w:lang w:val="en-US" w:eastAsia="zh-CN"/>
              </w:rPr>
              <w:t>2</w:t>
            </w:r>
          </w:p>
        </w:tc>
        <w:tc>
          <w:tcPr>
            <w:tcW w:w="1278" w:type="dxa"/>
            <w:noWrap w:val="0"/>
            <w:vAlign w:val="center"/>
          </w:tcPr>
          <w:p w14:paraId="71828DD1">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万伟兴</w:t>
            </w:r>
          </w:p>
        </w:tc>
        <w:tc>
          <w:tcPr>
            <w:tcW w:w="1980" w:type="dxa"/>
            <w:noWrap w:val="0"/>
            <w:vAlign w:val="center"/>
          </w:tcPr>
          <w:p w14:paraId="25F4D725">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eastAsia="zh-CN"/>
              </w:rPr>
            </w:pPr>
            <w:r>
              <w:rPr>
                <w:rFonts w:hint="eastAsia" w:ascii="仿宋_GB2312" w:hAnsi="仿宋_GB2312" w:eastAsia="仿宋_GB2312" w:cs="仿宋_GB2312"/>
                <w:b w:val="0"/>
                <w:bCs/>
                <w:snapToGrid/>
                <w:color w:val="auto"/>
                <w:kern w:val="2"/>
                <w:sz w:val="21"/>
                <w:szCs w:val="21"/>
                <w:lang w:eastAsia="zh-CN"/>
              </w:rPr>
              <w:t>市机关事务管理局</w:t>
            </w:r>
          </w:p>
        </w:tc>
        <w:tc>
          <w:tcPr>
            <w:tcW w:w="1487" w:type="dxa"/>
            <w:noWrap w:val="0"/>
            <w:vAlign w:val="center"/>
          </w:tcPr>
          <w:p w14:paraId="504568F2">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0"/>
                <w:szCs w:val="20"/>
                <w:lang w:eastAsia="zh-CN"/>
              </w:rPr>
            </w:pPr>
            <w:r>
              <w:rPr>
                <w:rFonts w:hint="eastAsia" w:ascii="仿宋_GB2312" w:hAnsi="仿宋_GB2312" w:eastAsia="仿宋_GB2312" w:cs="仿宋_GB2312"/>
                <w:b w:val="0"/>
                <w:bCs/>
                <w:snapToGrid/>
                <w:color w:val="auto"/>
                <w:kern w:val="2"/>
                <w:sz w:val="20"/>
                <w:szCs w:val="20"/>
                <w:lang w:eastAsia="zh-CN"/>
              </w:rPr>
              <w:t>资产管理处处长</w:t>
            </w:r>
          </w:p>
        </w:tc>
        <w:tc>
          <w:tcPr>
            <w:tcW w:w="1593" w:type="dxa"/>
            <w:noWrap w:val="0"/>
            <w:vAlign w:val="center"/>
          </w:tcPr>
          <w:p w14:paraId="4EF71590">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b w:val="0"/>
                <w:bCs/>
                <w:snapToGrid/>
                <w:color w:val="auto"/>
                <w:kern w:val="2"/>
                <w:sz w:val="20"/>
                <w:szCs w:val="20"/>
                <w:lang w:val="en-US" w:eastAsia="zh-CN"/>
              </w:rPr>
              <w:t>主持本标准制定，起草、组织协调等</w:t>
            </w:r>
          </w:p>
        </w:tc>
        <w:tc>
          <w:tcPr>
            <w:tcW w:w="1933" w:type="dxa"/>
            <w:noWrap w:val="0"/>
            <w:vAlign w:val="center"/>
          </w:tcPr>
          <w:p w14:paraId="0AD290EF">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eastAsia" w:ascii="仿宋_GB2312" w:hAnsi="仿宋_GB2312" w:eastAsia="仿宋_GB2312" w:cs="仿宋_GB2312"/>
                <w:b w:val="0"/>
                <w:bCs/>
                <w:snapToGrid/>
                <w:color w:val="auto"/>
                <w:kern w:val="2"/>
                <w:sz w:val="20"/>
                <w:szCs w:val="20"/>
                <w:lang w:val="en-US" w:eastAsia="zh-CN"/>
              </w:rPr>
            </w:pPr>
            <w:r>
              <w:rPr>
                <w:rFonts w:hint="eastAsia" w:ascii="仿宋_GB2312" w:hAnsi="仿宋_GB2312" w:eastAsia="仿宋_GB2312" w:cs="仿宋_GB2312"/>
                <w:b w:val="0"/>
                <w:bCs/>
                <w:snapToGrid/>
                <w:color w:val="auto"/>
                <w:kern w:val="2"/>
                <w:sz w:val="20"/>
                <w:szCs w:val="20"/>
                <w:lang w:val="en-US" w:eastAsia="zh-CN"/>
              </w:rPr>
              <w:t>作为主要起草人，起草多项地方标准</w:t>
            </w:r>
          </w:p>
        </w:tc>
      </w:tr>
      <w:tr w14:paraId="3FFEC97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52CAA41C">
            <w:pPr>
              <w:keepNext w:val="0"/>
              <w:keepLines w:val="0"/>
              <w:pageBreakBefore w:val="0"/>
              <w:kinsoku/>
              <w:wordWrap/>
              <w:overflowPunct/>
              <w:topLinePunct w:val="0"/>
              <w:autoSpaceDE/>
              <w:autoSpaceDN/>
              <w:bidi w:val="0"/>
              <w:adjustRightInd/>
              <w:snapToGrid w:val="0"/>
              <w:spacing w:line="280" w:lineRule="exact"/>
              <w:jc w:val="center"/>
              <w:textAlignment w:val="auto"/>
              <w:rPr>
                <w:rFonts w:hint="eastAsia" w:ascii="Times New Roman" w:hAnsi="Times New Roman" w:eastAsia="宋体" w:cs="Times New Roman"/>
                <w:snapToGrid/>
                <w:color w:val="auto"/>
                <w:kern w:val="2"/>
                <w:sz w:val="21"/>
                <w:szCs w:val="21"/>
                <w:lang w:val="en-US" w:eastAsia="zh-CN" w:bidi="ar-SA"/>
              </w:rPr>
            </w:pPr>
            <w:r>
              <w:rPr>
                <w:rFonts w:hint="eastAsia" w:ascii="Times New Roman" w:hAnsi="Times New Roman" w:eastAsia="宋体" w:cs="Times New Roman"/>
                <w:snapToGrid/>
                <w:color w:val="auto"/>
                <w:kern w:val="2"/>
                <w:sz w:val="21"/>
                <w:szCs w:val="21"/>
                <w:lang w:val="en-US" w:eastAsia="zh-CN"/>
              </w:rPr>
              <w:t>3</w:t>
            </w:r>
          </w:p>
        </w:tc>
        <w:tc>
          <w:tcPr>
            <w:tcW w:w="1278" w:type="dxa"/>
            <w:noWrap w:val="0"/>
            <w:vAlign w:val="center"/>
          </w:tcPr>
          <w:p w14:paraId="0023FAAA">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val="en-US" w:eastAsia="zh-CN" w:bidi="ar-SA"/>
              </w:rPr>
            </w:pPr>
            <w:r>
              <w:rPr>
                <w:rFonts w:hint="eastAsia" w:ascii="仿宋_GB2312" w:hAnsi="仿宋_GB2312" w:eastAsia="仿宋_GB2312" w:cs="仿宋_GB2312"/>
                <w:b w:val="0"/>
                <w:bCs/>
                <w:snapToGrid/>
                <w:color w:val="auto"/>
                <w:kern w:val="2"/>
                <w:sz w:val="21"/>
                <w:szCs w:val="21"/>
                <w:lang w:eastAsia="zh-CN"/>
              </w:rPr>
              <w:t>胡继国</w:t>
            </w:r>
          </w:p>
        </w:tc>
        <w:tc>
          <w:tcPr>
            <w:tcW w:w="1980" w:type="dxa"/>
            <w:noWrap w:val="0"/>
            <w:vAlign w:val="center"/>
          </w:tcPr>
          <w:p w14:paraId="7D27C767">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eastAsia" w:ascii="仿宋_GB2312" w:hAnsi="仿宋_GB2312" w:eastAsia="仿宋_GB2312" w:cs="仿宋_GB2312"/>
                <w:b w:val="0"/>
                <w:bCs/>
                <w:snapToGrid/>
                <w:color w:val="auto"/>
                <w:kern w:val="2"/>
                <w:sz w:val="21"/>
                <w:szCs w:val="21"/>
                <w:lang w:val="en-US" w:eastAsia="zh-CN" w:bidi="ar-SA"/>
              </w:rPr>
            </w:pPr>
            <w:r>
              <w:rPr>
                <w:rFonts w:hint="eastAsia" w:ascii="仿宋_GB2312" w:hAnsi="仿宋_GB2312" w:eastAsia="仿宋_GB2312" w:cs="仿宋_GB2312"/>
                <w:b w:val="0"/>
                <w:bCs/>
                <w:snapToGrid/>
                <w:color w:val="auto"/>
                <w:kern w:val="2"/>
                <w:sz w:val="21"/>
                <w:szCs w:val="21"/>
                <w:lang w:eastAsia="zh-CN"/>
              </w:rPr>
              <w:t>市机关事务管理局</w:t>
            </w:r>
          </w:p>
        </w:tc>
        <w:tc>
          <w:tcPr>
            <w:tcW w:w="1487" w:type="dxa"/>
            <w:noWrap w:val="0"/>
            <w:vAlign w:val="center"/>
          </w:tcPr>
          <w:p w14:paraId="01CA8146">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0"/>
                <w:szCs w:val="20"/>
                <w:lang w:val="en-US" w:eastAsia="zh-CN" w:bidi="ar-SA"/>
              </w:rPr>
            </w:pPr>
            <w:r>
              <w:rPr>
                <w:rFonts w:hint="eastAsia" w:ascii="仿宋_GB2312" w:hAnsi="仿宋_GB2312" w:eastAsia="仿宋_GB2312" w:cs="仿宋_GB2312"/>
                <w:b w:val="0"/>
                <w:bCs/>
                <w:snapToGrid/>
                <w:color w:val="auto"/>
                <w:kern w:val="2"/>
                <w:sz w:val="20"/>
                <w:szCs w:val="20"/>
                <w:lang w:val="en-US" w:eastAsia="zh-CN" w:bidi="ar-SA"/>
              </w:rPr>
              <w:t>质量监督工程师</w:t>
            </w:r>
          </w:p>
        </w:tc>
        <w:tc>
          <w:tcPr>
            <w:tcW w:w="1593" w:type="dxa"/>
            <w:noWrap w:val="0"/>
            <w:vAlign w:val="center"/>
          </w:tcPr>
          <w:p w14:paraId="09308C45">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标准方案起草、修订，标准资料收集、起草，组织协调等</w:t>
            </w:r>
          </w:p>
        </w:tc>
        <w:tc>
          <w:tcPr>
            <w:tcW w:w="1933" w:type="dxa"/>
            <w:noWrap w:val="0"/>
            <w:vAlign w:val="center"/>
          </w:tcPr>
          <w:p w14:paraId="63E7E19B">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eastAsia" w:ascii="仿宋_GB2312" w:hAnsi="仿宋_GB2312" w:eastAsia="仿宋_GB2312" w:cs="仿宋_GB2312"/>
                <w:b w:val="0"/>
                <w:bCs/>
                <w:snapToGrid/>
                <w:color w:val="auto"/>
                <w:kern w:val="2"/>
                <w:sz w:val="20"/>
                <w:szCs w:val="20"/>
                <w:lang w:val="en-US" w:eastAsia="zh-CN" w:bidi="ar-SA"/>
              </w:rPr>
            </w:pPr>
            <w:r>
              <w:rPr>
                <w:rFonts w:hint="eastAsia" w:ascii="仿宋_GB2312" w:hAnsi="仿宋_GB2312" w:eastAsia="仿宋_GB2312" w:cs="仿宋_GB2312"/>
                <w:b w:val="0"/>
                <w:bCs/>
                <w:snapToGrid/>
                <w:color w:val="auto"/>
                <w:kern w:val="2"/>
                <w:sz w:val="20"/>
                <w:szCs w:val="20"/>
                <w:lang w:val="en-US" w:eastAsia="zh-CN"/>
              </w:rPr>
              <w:t>作为主要起草人，起草多项地方标准</w:t>
            </w:r>
          </w:p>
        </w:tc>
      </w:tr>
      <w:tr w14:paraId="4EAD8AF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6412AFEC">
            <w:pPr>
              <w:keepNext w:val="0"/>
              <w:keepLines w:val="0"/>
              <w:pageBreakBefore w:val="0"/>
              <w:kinsoku/>
              <w:wordWrap/>
              <w:overflowPunct/>
              <w:topLinePunct w:val="0"/>
              <w:autoSpaceDE/>
              <w:autoSpaceDN/>
              <w:bidi w:val="0"/>
              <w:adjustRightInd/>
              <w:snapToGrid w:val="0"/>
              <w:spacing w:line="280" w:lineRule="exact"/>
              <w:jc w:val="center"/>
              <w:textAlignment w:val="auto"/>
              <w:rPr>
                <w:rFonts w:hint="default" w:ascii="Times New Roman" w:hAnsi="Times New Roman" w:eastAsia="宋体" w:cs="Times New Roman"/>
                <w:snapToGrid/>
                <w:color w:val="auto"/>
                <w:kern w:val="2"/>
                <w:sz w:val="21"/>
                <w:szCs w:val="21"/>
                <w:lang w:val="en-US" w:eastAsia="zh-CN"/>
              </w:rPr>
            </w:pPr>
            <w:r>
              <w:rPr>
                <w:rFonts w:hint="eastAsia" w:ascii="Times New Roman" w:hAnsi="Times New Roman" w:eastAsia="宋体" w:cs="Times New Roman"/>
                <w:snapToGrid/>
                <w:color w:val="auto"/>
                <w:kern w:val="2"/>
                <w:sz w:val="21"/>
                <w:szCs w:val="21"/>
                <w:lang w:val="en-US" w:eastAsia="zh-CN"/>
              </w:rPr>
              <w:t>4</w:t>
            </w:r>
          </w:p>
        </w:tc>
        <w:tc>
          <w:tcPr>
            <w:tcW w:w="1278" w:type="dxa"/>
            <w:noWrap w:val="0"/>
            <w:vAlign w:val="center"/>
          </w:tcPr>
          <w:p w14:paraId="6001F457">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1"/>
                <w:szCs w:val="21"/>
                <w:lang w:val="en-US" w:eastAsia="zh-CN"/>
              </w:rPr>
            </w:pPr>
            <w:r>
              <w:rPr>
                <w:rFonts w:hint="eastAsia" w:ascii="仿宋_GB2312" w:hAnsi="仿宋_GB2312" w:eastAsia="仿宋_GB2312" w:cs="仿宋_GB2312"/>
                <w:b w:val="0"/>
                <w:bCs/>
                <w:snapToGrid/>
                <w:color w:val="auto"/>
                <w:kern w:val="2"/>
                <w:sz w:val="21"/>
                <w:szCs w:val="21"/>
                <w:lang w:val="en-US" w:eastAsia="zh-CN"/>
              </w:rPr>
              <w:t>陈  群</w:t>
            </w:r>
          </w:p>
        </w:tc>
        <w:tc>
          <w:tcPr>
            <w:tcW w:w="1980" w:type="dxa"/>
            <w:noWrap w:val="0"/>
            <w:vAlign w:val="center"/>
          </w:tcPr>
          <w:p w14:paraId="35194B3E">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1"/>
                <w:szCs w:val="21"/>
                <w:lang w:val="en-US" w:eastAsia="zh-CN"/>
              </w:rPr>
            </w:pPr>
            <w:r>
              <w:rPr>
                <w:rFonts w:hint="eastAsia" w:ascii="仿宋_GB2312" w:hAnsi="仿宋_GB2312" w:eastAsia="仿宋_GB2312" w:cs="仿宋_GB2312"/>
                <w:b w:val="0"/>
                <w:bCs/>
                <w:snapToGrid/>
                <w:color w:val="auto"/>
                <w:kern w:val="2"/>
                <w:sz w:val="21"/>
                <w:szCs w:val="21"/>
                <w:lang w:val="en-US" w:eastAsia="zh-CN"/>
              </w:rPr>
              <w:t>市标准化研究中心</w:t>
            </w:r>
          </w:p>
        </w:tc>
        <w:tc>
          <w:tcPr>
            <w:tcW w:w="1487" w:type="dxa"/>
            <w:noWrap w:val="0"/>
            <w:vAlign w:val="center"/>
          </w:tcPr>
          <w:p w14:paraId="52F75A39">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0"/>
                <w:szCs w:val="20"/>
                <w:lang w:val="en-US" w:eastAsia="zh-CN"/>
              </w:rPr>
            </w:pPr>
            <w:r>
              <w:rPr>
                <w:rFonts w:hint="eastAsia" w:ascii="仿宋_GB2312" w:hAnsi="仿宋_GB2312" w:eastAsia="仿宋_GB2312" w:cs="仿宋_GB2312"/>
                <w:b w:val="0"/>
                <w:bCs/>
                <w:snapToGrid/>
                <w:color w:val="auto"/>
                <w:kern w:val="2"/>
                <w:sz w:val="20"/>
                <w:szCs w:val="20"/>
                <w:lang w:val="en-US" w:eastAsia="zh-CN"/>
              </w:rPr>
              <w:t>高级工程师</w:t>
            </w:r>
          </w:p>
        </w:tc>
        <w:tc>
          <w:tcPr>
            <w:tcW w:w="1593" w:type="dxa"/>
            <w:noWrap w:val="0"/>
            <w:vAlign w:val="center"/>
          </w:tcPr>
          <w:p w14:paraId="72AF59A6">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default"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2"/>
                <w:sz w:val="20"/>
                <w:szCs w:val="20"/>
                <w:u w:val="none"/>
                <w:lang w:val="en-US" w:eastAsia="zh-CN" w:bidi="ar-SA"/>
              </w:rPr>
              <w:t>标准修订</w:t>
            </w:r>
          </w:p>
        </w:tc>
        <w:tc>
          <w:tcPr>
            <w:tcW w:w="1933" w:type="dxa"/>
            <w:noWrap w:val="0"/>
            <w:vAlign w:val="center"/>
          </w:tcPr>
          <w:p w14:paraId="3A79C5B5">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default" w:ascii="仿宋_GB2312" w:hAnsi="仿宋_GB2312" w:eastAsia="仿宋_GB2312" w:cs="仿宋_GB2312"/>
                <w:b w:val="0"/>
                <w:bCs/>
                <w:snapToGrid/>
                <w:color w:val="auto"/>
                <w:kern w:val="2"/>
                <w:sz w:val="20"/>
                <w:szCs w:val="20"/>
                <w:lang w:val="en-US" w:eastAsia="zh-CN"/>
              </w:rPr>
            </w:pPr>
            <w:r>
              <w:rPr>
                <w:rFonts w:hint="eastAsia" w:ascii="仿宋_GB2312" w:hAnsi="仿宋_GB2312" w:eastAsia="仿宋_GB2312" w:cs="仿宋_GB2312"/>
                <w:b w:val="0"/>
                <w:bCs/>
                <w:snapToGrid/>
                <w:color w:val="auto"/>
                <w:kern w:val="2"/>
                <w:sz w:val="20"/>
                <w:szCs w:val="20"/>
                <w:lang w:val="en-US" w:eastAsia="zh-CN"/>
              </w:rPr>
              <w:t>主导、参与多项标准化项目，并在多个技术委员会任职</w:t>
            </w:r>
          </w:p>
        </w:tc>
      </w:tr>
      <w:tr w14:paraId="00EF5C52">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0" w:type="dxa"/>
            <w:noWrap w:val="0"/>
            <w:vAlign w:val="center"/>
          </w:tcPr>
          <w:p w14:paraId="110C1E2F">
            <w:pPr>
              <w:keepNext w:val="0"/>
              <w:keepLines w:val="0"/>
              <w:pageBreakBefore w:val="0"/>
              <w:kinsoku/>
              <w:wordWrap/>
              <w:overflowPunct/>
              <w:topLinePunct w:val="0"/>
              <w:autoSpaceDE/>
              <w:autoSpaceDN/>
              <w:bidi w:val="0"/>
              <w:adjustRightInd/>
              <w:snapToGrid w:val="0"/>
              <w:spacing w:line="280" w:lineRule="exact"/>
              <w:jc w:val="center"/>
              <w:textAlignment w:val="auto"/>
              <w:rPr>
                <w:rFonts w:hint="default" w:ascii="Times New Roman" w:hAnsi="Times New Roman" w:eastAsia="宋体" w:cs="Times New Roman"/>
                <w:snapToGrid/>
                <w:color w:val="auto"/>
                <w:kern w:val="2"/>
                <w:sz w:val="21"/>
                <w:szCs w:val="21"/>
                <w:lang w:val="en-US" w:eastAsia="zh-CN" w:bidi="ar-SA"/>
              </w:rPr>
            </w:pPr>
            <w:r>
              <w:rPr>
                <w:rFonts w:hint="eastAsia" w:ascii="Times New Roman" w:hAnsi="Times New Roman" w:eastAsia="宋体" w:cs="Times New Roman"/>
                <w:snapToGrid/>
                <w:color w:val="auto"/>
                <w:kern w:val="2"/>
                <w:sz w:val="21"/>
                <w:szCs w:val="21"/>
                <w:lang w:val="en-US" w:eastAsia="zh-CN"/>
              </w:rPr>
              <w:t>5</w:t>
            </w:r>
          </w:p>
        </w:tc>
        <w:tc>
          <w:tcPr>
            <w:tcW w:w="1278" w:type="dxa"/>
            <w:noWrap w:val="0"/>
            <w:vAlign w:val="center"/>
          </w:tcPr>
          <w:p w14:paraId="13D6C317">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1"/>
                <w:szCs w:val="21"/>
                <w:lang w:val="en-US" w:eastAsia="zh-CN" w:bidi="ar-SA"/>
              </w:rPr>
            </w:pPr>
            <w:r>
              <w:rPr>
                <w:rFonts w:hint="eastAsia" w:ascii="仿宋_GB2312" w:hAnsi="仿宋_GB2312" w:eastAsia="仿宋_GB2312" w:cs="仿宋_GB2312"/>
                <w:b w:val="0"/>
                <w:bCs/>
                <w:snapToGrid/>
                <w:color w:val="auto"/>
                <w:kern w:val="2"/>
                <w:sz w:val="21"/>
                <w:szCs w:val="21"/>
                <w:lang w:eastAsia="zh-CN"/>
              </w:rPr>
              <w:t>卞其婷</w:t>
            </w:r>
          </w:p>
        </w:tc>
        <w:tc>
          <w:tcPr>
            <w:tcW w:w="1980" w:type="dxa"/>
            <w:noWrap w:val="0"/>
            <w:vAlign w:val="center"/>
          </w:tcPr>
          <w:p w14:paraId="7A84AF69">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1"/>
                <w:szCs w:val="21"/>
                <w:lang w:val="en-US" w:eastAsia="zh-CN" w:bidi="ar-SA"/>
              </w:rPr>
            </w:pPr>
            <w:r>
              <w:rPr>
                <w:rFonts w:hint="eastAsia" w:ascii="仿宋_GB2312" w:hAnsi="仿宋_GB2312" w:eastAsia="仿宋_GB2312" w:cs="仿宋_GB2312"/>
                <w:b w:val="0"/>
                <w:bCs/>
                <w:snapToGrid/>
                <w:color w:val="auto"/>
                <w:kern w:val="2"/>
                <w:sz w:val="21"/>
                <w:szCs w:val="21"/>
                <w:lang w:eastAsia="zh-CN"/>
              </w:rPr>
              <w:t>市机关事务管理局</w:t>
            </w:r>
          </w:p>
        </w:tc>
        <w:tc>
          <w:tcPr>
            <w:tcW w:w="1487" w:type="dxa"/>
            <w:noWrap w:val="0"/>
            <w:vAlign w:val="center"/>
          </w:tcPr>
          <w:p w14:paraId="119AD324">
            <w:pPr>
              <w:keepNext w:val="0"/>
              <w:keepLines w:val="0"/>
              <w:pageBreakBefore w:val="0"/>
              <w:widowControl w:val="0"/>
              <w:kinsoku/>
              <w:wordWrap/>
              <w:overflowPunct/>
              <w:topLinePunct w:val="0"/>
              <w:autoSpaceDE/>
              <w:autoSpaceDN/>
              <w:bidi w:val="0"/>
              <w:adjustRightInd/>
              <w:snapToGrid w:val="0"/>
              <w:spacing w:line="280" w:lineRule="exact"/>
              <w:jc w:val="center"/>
              <w:textAlignment w:val="auto"/>
              <w:rPr>
                <w:rFonts w:hint="default" w:ascii="仿宋_GB2312" w:hAnsi="仿宋_GB2312" w:eastAsia="仿宋_GB2312" w:cs="仿宋_GB2312"/>
                <w:b w:val="0"/>
                <w:bCs/>
                <w:snapToGrid/>
                <w:color w:val="auto"/>
                <w:kern w:val="2"/>
                <w:sz w:val="20"/>
                <w:szCs w:val="20"/>
                <w:lang w:val="en-US" w:eastAsia="zh-CN" w:bidi="ar-SA"/>
              </w:rPr>
            </w:pPr>
            <w:r>
              <w:rPr>
                <w:rFonts w:hint="eastAsia" w:ascii="仿宋_GB2312" w:hAnsi="仿宋_GB2312" w:eastAsia="仿宋_GB2312" w:cs="仿宋_GB2312"/>
                <w:b w:val="0"/>
                <w:bCs/>
                <w:snapToGrid/>
                <w:color w:val="auto"/>
                <w:kern w:val="2"/>
                <w:sz w:val="20"/>
                <w:szCs w:val="20"/>
                <w:lang w:eastAsia="zh-CN"/>
              </w:rPr>
              <w:t>办公室主任</w:t>
            </w:r>
          </w:p>
        </w:tc>
        <w:tc>
          <w:tcPr>
            <w:tcW w:w="1593" w:type="dxa"/>
            <w:noWrap w:val="0"/>
            <w:vAlign w:val="center"/>
          </w:tcPr>
          <w:p w14:paraId="53ABE7F4">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default"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2"/>
                <w:sz w:val="20"/>
                <w:szCs w:val="20"/>
                <w:u w:val="none"/>
                <w:lang w:val="en-US" w:eastAsia="zh-CN" w:bidi="ar-SA"/>
              </w:rPr>
              <w:t>标准修订</w:t>
            </w:r>
          </w:p>
        </w:tc>
        <w:tc>
          <w:tcPr>
            <w:tcW w:w="1933" w:type="dxa"/>
            <w:noWrap w:val="0"/>
            <w:vAlign w:val="center"/>
          </w:tcPr>
          <w:p w14:paraId="02C6ECE3">
            <w:pPr>
              <w:keepNext w:val="0"/>
              <w:keepLines w:val="0"/>
              <w:pageBreakBefore w:val="0"/>
              <w:widowControl/>
              <w:suppressLineNumbers w:val="0"/>
              <w:kinsoku/>
              <w:wordWrap/>
              <w:overflowPunct/>
              <w:topLinePunct w:val="0"/>
              <w:autoSpaceDE/>
              <w:autoSpaceDN/>
              <w:bidi w:val="0"/>
              <w:adjustRightInd/>
              <w:snapToGrid w:val="0"/>
              <w:spacing w:line="280" w:lineRule="exact"/>
              <w:jc w:val="both"/>
              <w:textAlignment w:val="center"/>
              <w:rPr>
                <w:rFonts w:hint="default" w:ascii="仿宋_GB2312" w:hAnsi="仿宋_GB2312" w:eastAsia="仿宋_GB2312" w:cs="仿宋_GB2312"/>
                <w:b w:val="0"/>
                <w:bCs/>
                <w:snapToGrid/>
                <w:color w:val="auto"/>
                <w:kern w:val="2"/>
                <w:sz w:val="20"/>
                <w:szCs w:val="20"/>
                <w:lang w:val="en-US" w:eastAsia="zh-CN"/>
              </w:rPr>
            </w:pPr>
            <w:r>
              <w:rPr>
                <w:rFonts w:hint="eastAsia" w:ascii="仿宋_GB2312" w:hAnsi="仿宋_GB2312" w:eastAsia="仿宋_GB2312" w:cs="仿宋_GB2312"/>
                <w:b w:val="0"/>
                <w:bCs/>
                <w:snapToGrid/>
                <w:color w:val="auto"/>
                <w:kern w:val="2"/>
                <w:sz w:val="20"/>
                <w:szCs w:val="20"/>
                <w:lang w:val="en-US" w:eastAsia="zh-CN"/>
              </w:rPr>
              <w:t>参与多项标准化项目</w:t>
            </w:r>
          </w:p>
        </w:tc>
      </w:tr>
    </w:tbl>
    <w:p w14:paraId="3FD5DE6D">
      <w:pPr>
        <w:keepNext w:val="0"/>
        <w:keepLines w:val="0"/>
        <w:pageBreakBefore w:val="0"/>
        <w:kinsoku/>
        <w:wordWrap/>
        <w:overflowPunct/>
        <w:topLinePunct w:val="0"/>
        <w:autoSpaceDE/>
        <w:autoSpaceDN/>
        <w:bidi w:val="0"/>
        <w:adjustRightInd/>
        <w:snapToGrid w:val="0"/>
        <w:spacing w:line="28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742E0"/>
    <w:multiLevelType w:val="singleLevel"/>
    <w:tmpl w:val="9BF742E0"/>
    <w:lvl w:ilvl="0" w:tentative="0">
      <w:start w:val="9"/>
      <w:numFmt w:val="chineseCounting"/>
      <w:suff w:val="space"/>
      <w:lvlText w:val="第%1章"/>
      <w:lvlJc w:val="left"/>
      <w:rPr>
        <w:rFonts w:hint="eastAsia"/>
        <w:b/>
        <w:bCs/>
      </w:rPr>
    </w:lvl>
  </w:abstractNum>
  <w:abstractNum w:abstractNumId="1">
    <w:nsid w:val="D2784C03"/>
    <w:multiLevelType w:val="singleLevel"/>
    <w:tmpl w:val="D2784C03"/>
    <w:lvl w:ilvl="0" w:tentative="0">
      <w:start w:val="1"/>
      <w:numFmt w:val="decimal"/>
      <w:suff w:val="space"/>
      <w:lvlText w:val="%1."/>
      <w:lvlJc w:val="left"/>
    </w:lvl>
  </w:abstractNum>
  <w:abstractNum w:abstractNumId="2">
    <w:nsid w:val="F1987331"/>
    <w:multiLevelType w:val="singleLevel"/>
    <w:tmpl w:val="F1987331"/>
    <w:lvl w:ilvl="0" w:tentative="0">
      <w:start w:val="1"/>
      <w:numFmt w:val="chineseCounting"/>
      <w:suff w:val="space"/>
      <w:lvlText w:val="第%1章"/>
      <w:lvlJc w:val="left"/>
      <w:rPr>
        <w:rFonts w:hint="eastAsia"/>
        <w:b/>
        <w:bCs/>
      </w:rPr>
    </w:lvl>
  </w:abstractNum>
  <w:abstractNum w:abstractNumId="3">
    <w:nsid w:val="16C5FF03"/>
    <w:multiLevelType w:val="singleLevel"/>
    <w:tmpl w:val="16C5FF03"/>
    <w:lvl w:ilvl="0" w:tentative="0">
      <w:start w:val="2"/>
      <w:numFmt w:val="chineseCounting"/>
      <w:suff w:val="nothing"/>
      <w:lvlText w:val="（%1）"/>
      <w:lvlJc w:val="left"/>
      <w:rPr>
        <w:rFonts w:hint="eastAsia"/>
      </w:rPr>
    </w:lvl>
  </w:abstractNum>
  <w:abstractNum w:abstractNumId="4">
    <w:nsid w:val="66C87412"/>
    <w:multiLevelType w:val="singleLevel"/>
    <w:tmpl w:val="66C87412"/>
    <w:lvl w:ilvl="0" w:tentative="0">
      <w:start w:val="3"/>
      <w:numFmt w:val="chineseCounting"/>
      <w:suff w:val="nothing"/>
      <w:lvlText w:val="（%1）"/>
      <w:lvlJc w:val="left"/>
      <w:rPr>
        <w:rFonts w:hint="eastAsia"/>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MDA3MGM4ZGJmOWNkZGQ3OWNkMmI5NGJmZGQ5M2IifQ=="/>
  </w:docVars>
  <w:rsids>
    <w:rsidRoot w:val="00000000"/>
    <w:rsid w:val="05A33D41"/>
    <w:rsid w:val="05FD7AB2"/>
    <w:rsid w:val="071A5FCD"/>
    <w:rsid w:val="089A2898"/>
    <w:rsid w:val="0DBA7538"/>
    <w:rsid w:val="0F56503F"/>
    <w:rsid w:val="16287735"/>
    <w:rsid w:val="174340FA"/>
    <w:rsid w:val="18221F62"/>
    <w:rsid w:val="197902A7"/>
    <w:rsid w:val="1E9C3F77"/>
    <w:rsid w:val="231B18EB"/>
    <w:rsid w:val="28D92B11"/>
    <w:rsid w:val="29DD0B54"/>
    <w:rsid w:val="2AEB1E7B"/>
    <w:rsid w:val="31714A37"/>
    <w:rsid w:val="4E5C1022"/>
    <w:rsid w:val="4E6879C7"/>
    <w:rsid w:val="4F302BDB"/>
    <w:rsid w:val="5853793A"/>
    <w:rsid w:val="5D1761CD"/>
    <w:rsid w:val="5DAB78D0"/>
    <w:rsid w:val="60036E9A"/>
    <w:rsid w:val="635F53E5"/>
    <w:rsid w:val="65815AE7"/>
    <w:rsid w:val="682C1C28"/>
    <w:rsid w:val="68376930"/>
    <w:rsid w:val="7060279C"/>
    <w:rsid w:val="71FE04BF"/>
    <w:rsid w:val="732D2E0A"/>
    <w:rsid w:val="733A1083"/>
    <w:rsid w:val="76061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qFormat/>
    <w:uiPriority w:val="0"/>
    <w:pPr>
      <w:spacing w:before="240" w:after="60"/>
      <w:jc w:val="center"/>
      <w:outlineLvl w:val="0"/>
    </w:pPr>
    <w:rPr>
      <w:rFonts w:ascii="Arial" w:hAnsi="Arial" w:eastAsia="仿宋"/>
      <w:b/>
      <w:sz w:val="32"/>
      <w:szCs w:val="32"/>
    </w:rPr>
  </w:style>
  <w:style w:type="paragraph" w:styleId="5">
    <w:name w:val="List Paragraph"/>
    <w:basedOn w:val="1"/>
    <w:qFormat/>
    <w:uiPriority w:val="34"/>
    <w:pPr>
      <w:ind w:firstLine="420" w:firstLineChars="200"/>
    </w:pPr>
  </w:style>
  <w:style w:type="paragraph" w:customStyle="1" w:styleId="6">
    <w:name w:val="Body text|1"/>
    <w:basedOn w:val="1"/>
    <w:qFormat/>
    <w:uiPriority w:val="0"/>
    <w:pPr>
      <w:widowControl w:val="0"/>
      <w:shd w:val="clear" w:color="auto" w:fill="auto"/>
      <w:spacing w:line="331" w:lineRule="auto"/>
    </w:pPr>
    <w:rPr>
      <w:rFonts w:ascii="宋体" w:hAnsi="宋体" w:eastAsia="宋体" w:cs="宋体"/>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4558</Words>
  <Characters>4688</Characters>
  <Lines>0</Lines>
  <Paragraphs>0</Paragraphs>
  <TotalTime>11</TotalTime>
  <ScaleCrop>false</ScaleCrop>
  <LinksUpToDate>false</LinksUpToDate>
  <CharactersWithSpaces>4742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2024-08-14T06:57:00Z</dcterms:created>
  <dc:creator>Administrator</dc:creator>
  <cp:lastModifiedBy>Administrator</cp:lastModifiedBy>
  <dcterms:modified xsi:type="dcterms:W3CDTF">2024-11-18T14:08:40Z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98B48BBB4C0D4CF1867ED580350B1D77_12</vt:lpwstr>
  </property>
</Properties>
</file>